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77" w:rsidRDefault="00B23D77" w:rsidP="00FB7221">
      <w:pPr>
        <w:autoSpaceDE w:val="0"/>
        <w:autoSpaceDN w:val="0"/>
        <w:adjustRightInd w:val="0"/>
        <w:spacing w:after="0" w:line="240" w:lineRule="auto"/>
        <w:rPr>
          <w:rFonts w:ascii="Century" w:hAnsi="Century" w:cs="Arial"/>
          <w:b/>
          <w:bCs/>
          <w:sz w:val="16"/>
          <w:szCs w:val="16"/>
        </w:rPr>
      </w:pPr>
    </w:p>
    <w:p w:rsidR="00223B18" w:rsidRPr="006D0DA3" w:rsidRDefault="00223B18" w:rsidP="00FB7221">
      <w:pPr>
        <w:autoSpaceDE w:val="0"/>
        <w:autoSpaceDN w:val="0"/>
        <w:adjustRightInd w:val="0"/>
        <w:spacing w:after="0" w:line="240" w:lineRule="auto"/>
        <w:rPr>
          <w:rFonts w:asciiTheme="minorHAnsi" w:hAnsiTheme="minorHAnsi" w:cstheme="minorHAnsi"/>
          <w:b/>
          <w:bCs/>
          <w:sz w:val="16"/>
          <w:szCs w:val="16"/>
        </w:rPr>
      </w:pPr>
      <w:r w:rsidRPr="006D0DA3">
        <w:rPr>
          <w:rFonts w:asciiTheme="minorHAnsi" w:hAnsiTheme="minorHAnsi" w:cstheme="minorHAnsi"/>
          <w:b/>
          <w:bCs/>
          <w:sz w:val="16"/>
          <w:szCs w:val="16"/>
        </w:rPr>
        <w:t>UNAUDITED CONDENSED CONSOLIDATED STATEMENT OF COMPREHENSIVE INCOME</w:t>
      </w:r>
    </w:p>
    <w:p w:rsidR="00223B18" w:rsidRPr="006D0DA3" w:rsidRDefault="00027599" w:rsidP="00FB7221">
      <w:pPr>
        <w:autoSpaceDE w:val="0"/>
        <w:autoSpaceDN w:val="0"/>
        <w:adjustRightInd w:val="0"/>
        <w:spacing w:after="0" w:line="240" w:lineRule="auto"/>
        <w:rPr>
          <w:rFonts w:asciiTheme="minorHAnsi" w:hAnsiTheme="minorHAnsi" w:cstheme="minorHAnsi"/>
          <w:b/>
          <w:bCs/>
          <w:sz w:val="16"/>
          <w:szCs w:val="16"/>
        </w:rPr>
      </w:pPr>
      <w:r>
        <w:rPr>
          <w:rFonts w:asciiTheme="minorHAnsi" w:hAnsiTheme="minorHAnsi" w:cstheme="minorHAnsi"/>
          <w:b/>
          <w:bCs/>
          <w:sz w:val="16"/>
          <w:szCs w:val="16"/>
        </w:rPr>
        <w:t xml:space="preserve">FOR ONE MONTH </w:t>
      </w:r>
      <w:r w:rsidR="00223B18" w:rsidRPr="006D0DA3">
        <w:rPr>
          <w:rFonts w:asciiTheme="minorHAnsi" w:hAnsiTheme="minorHAnsi" w:cstheme="minorHAnsi"/>
          <w:b/>
          <w:bCs/>
          <w:sz w:val="16"/>
          <w:szCs w:val="16"/>
        </w:rPr>
        <w:t>ENDED</w:t>
      </w:r>
      <w:r w:rsidR="00335B8E" w:rsidRPr="006D0DA3">
        <w:rPr>
          <w:rFonts w:asciiTheme="minorHAnsi" w:hAnsiTheme="minorHAnsi" w:cstheme="minorHAnsi"/>
          <w:b/>
          <w:bCs/>
          <w:sz w:val="16"/>
          <w:szCs w:val="16"/>
        </w:rPr>
        <w:t xml:space="preserve"> </w:t>
      </w:r>
      <w:r w:rsidR="001E6FD5" w:rsidRPr="006D0DA3">
        <w:rPr>
          <w:rFonts w:asciiTheme="minorHAnsi" w:hAnsiTheme="minorHAnsi" w:cstheme="minorHAnsi"/>
          <w:b/>
          <w:bCs/>
          <w:sz w:val="16"/>
          <w:szCs w:val="16"/>
        </w:rPr>
        <w:t>3</w:t>
      </w:r>
      <w:r>
        <w:rPr>
          <w:rFonts w:asciiTheme="minorHAnsi" w:hAnsiTheme="minorHAnsi" w:cstheme="minorHAnsi"/>
          <w:b/>
          <w:bCs/>
          <w:sz w:val="16"/>
          <w:szCs w:val="16"/>
        </w:rPr>
        <w:t>1 JULY</w:t>
      </w:r>
      <w:r w:rsidR="001E6FD5" w:rsidRPr="006D0DA3">
        <w:rPr>
          <w:rFonts w:asciiTheme="minorHAnsi" w:hAnsiTheme="minorHAnsi" w:cstheme="minorHAnsi"/>
          <w:b/>
          <w:bCs/>
          <w:sz w:val="16"/>
          <w:szCs w:val="16"/>
        </w:rPr>
        <w:t xml:space="preserve"> 201</w:t>
      </w:r>
      <w:r w:rsidR="00A6231B">
        <w:rPr>
          <w:rFonts w:asciiTheme="minorHAnsi" w:hAnsiTheme="minorHAnsi" w:cstheme="minorHAnsi"/>
          <w:b/>
          <w:bCs/>
          <w:sz w:val="16"/>
          <w:szCs w:val="16"/>
        </w:rPr>
        <w:t>6</w:t>
      </w:r>
    </w:p>
    <w:p w:rsidR="00B23D77" w:rsidRPr="006D0DA3" w:rsidRDefault="00B23D77" w:rsidP="00FB7221">
      <w:pPr>
        <w:autoSpaceDE w:val="0"/>
        <w:autoSpaceDN w:val="0"/>
        <w:adjustRightInd w:val="0"/>
        <w:spacing w:after="0" w:line="240" w:lineRule="auto"/>
        <w:rPr>
          <w:rFonts w:asciiTheme="minorHAnsi" w:hAnsiTheme="minorHAnsi" w:cstheme="minorHAnsi"/>
          <w:b/>
          <w:bCs/>
          <w:sz w:val="16"/>
          <w:szCs w:val="16"/>
        </w:rPr>
      </w:pPr>
    </w:p>
    <w:tbl>
      <w:tblPr>
        <w:tblW w:w="9828" w:type="dxa"/>
        <w:tblLayout w:type="fixed"/>
        <w:tblLook w:val="00A0" w:firstRow="1" w:lastRow="0" w:firstColumn="1" w:lastColumn="0" w:noHBand="0" w:noVBand="0"/>
      </w:tblPr>
      <w:tblGrid>
        <w:gridCol w:w="3348"/>
        <w:gridCol w:w="1620"/>
        <w:gridCol w:w="1620"/>
        <w:gridCol w:w="1620"/>
        <w:gridCol w:w="1620"/>
      </w:tblGrid>
      <w:tr w:rsidR="002260C6" w:rsidRPr="006D0DA3" w:rsidTr="002260C6">
        <w:trPr>
          <w:trHeight w:val="58"/>
        </w:trPr>
        <w:tc>
          <w:tcPr>
            <w:tcW w:w="3348" w:type="dxa"/>
            <w:noWrap/>
          </w:tcPr>
          <w:p w:rsidR="002260C6" w:rsidRPr="006D0DA3" w:rsidRDefault="002260C6" w:rsidP="00223B18">
            <w:pPr>
              <w:spacing w:after="0" w:line="240" w:lineRule="auto"/>
              <w:rPr>
                <w:rFonts w:asciiTheme="minorHAnsi" w:hAnsiTheme="minorHAnsi" w:cstheme="minorHAnsi"/>
                <w:color w:val="000000"/>
                <w:sz w:val="16"/>
                <w:szCs w:val="16"/>
              </w:rPr>
            </w:pPr>
          </w:p>
        </w:tc>
        <w:tc>
          <w:tcPr>
            <w:tcW w:w="3240" w:type="dxa"/>
            <w:gridSpan w:val="2"/>
            <w:noWrap/>
          </w:tcPr>
          <w:p w:rsidR="002260C6" w:rsidRPr="006D0DA3" w:rsidRDefault="002260C6" w:rsidP="00223B18">
            <w:pPr>
              <w:spacing w:after="0" w:line="240" w:lineRule="auto"/>
              <w:jc w:val="center"/>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 Individual Quarter ----</w:t>
            </w:r>
          </w:p>
        </w:tc>
        <w:tc>
          <w:tcPr>
            <w:tcW w:w="3240" w:type="dxa"/>
            <w:gridSpan w:val="2"/>
            <w:noWrap/>
          </w:tcPr>
          <w:p w:rsidR="002260C6" w:rsidRPr="006D0DA3" w:rsidRDefault="002260C6" w:rsidP="00223B18">
            <w:pPr>
              <w:spacing w:after="0" w:line="240" w:lineRule="auto"/>
              <w:jc w:val="center"/>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 Cumulative Quarter -----</w:t>
            </w:r>
          </w:p>
        </w:tc>
      </w:tr>
      <w:tr w:rsidR="002260C6" w:rsidRPr="006D0DA3" w:rsidTr="00DE0940">
        <w:trPr>
          <w:trHeight w:val="58"/>
        </w:trPr>
        <w:tc>
          <w:tcPr>
            <w:tcW w:w="3348" w:type="dxa"/>
            <w:noWrap/>
          </w:tcPr>
          <w:p w:rsidR="002260C6" w:rsidRPr="006D0DA3" w:rsidRDefault="002260C6" w:rsidP="00F23BA0">
            <w:pPr>
              <w:spacing w:after="0" w:line="240" w:lineRule="auto"/>
              <w:jc w:val="right"/>
              <w:rPr>
                <w:rFonts w:asciiTheme="minorHAnsi" w:hAnsiTheme="minorHAnsi" w:cstheme="minorHAnsi"/>
                <w:color w:val="000000"/>
                <w:sz w:val="16"/>
                <w:szCs w:val="16"/>
              </w:rPr>
            </w:pPr>
          </w:p>
        </w:tc>
        <w:tc>
          <w:tcPr>
            <w:tcW w:w="1620" w:type="dxa"/>
            <w:noWrap/>
          </w:tcPr>
          <w:p w:rsidR="002260C6" w:rsidRPr="006D0DA3" w:rsidRDefault="002260C6" w:rsidP="00F23BA0">
            <w:pPr>
              <w:spacing w:after="0" w:line="240" w:lineRule="auto"/>
              <w:jc w:val="right"/>
              <w:rPr>
                <w:rFonts w:asciiTheme="minorHAnsi" w:hAnsiTheme="minorHAnsi" w:cstheme="minorHAnsi"/>
                <w:b/>
                <w:bCs/>
                <w:color w:val="000000"/>
                <w:sz w:val="16"/>
                <w:szCs w:val="16"/>
              </w:rPr>
            </w:pPr>
          </w:p>
        </w:tc>
        <w:tc>
          <w:tcPr>
            <w:tcW w:w="1620" w:type="dxa"/>
          </w:tcPr>
          <w:p w:rsidR="002260C6" w:rsidRPr="006D0DA3" w:rsidRDefault="002260C6" w:rsidP="00F23BA0">
            <w:pPr>
              <w:spacing w:after="0" w:line="240" w:lineRule="auto"/>
              <w:jc w:val="right"/>
              <w:rPr>
                <w:rFonts w:asciiTheme="minorHAnsi" w:hAnsiTheme="minorHAnsi" w:cstheme="minorHAnsi"/>
                <w:b/>
                <w:bCs/>
                <w:color w:val="000000"/>
                <w:sz w:val="16"/>
                <w:szCs w:val="16"/>
              </w:rPr>
            </w:pPr>
          </w:p>
        </w:tc>
        <w:tc>
          <w:tcPr>
            <w:tcW w:w="1620" w:type="dxa"/>
          </w:tcPr>
          <w:p w:rsidR="002260C6" w:rsidRPr="006D0DA3" w:rsidRDefault="002260C6" w:rsidP="00F23BA0">
            <w:pPr>
              <w:spacing w:after="0" w:line="240" w:lineRule="auto"/>
              <w:jc w:val="right"/>
              <w:rPr>
                <w:rFonts w:asciiTheme="minorHAnsi" w:hAnsiTheme="minorHAnsi" w:cstheme="minorHAnsi"/>
                <w:b/>
                <w:bCs/>
                <w:color w:val="000000"/>
                <w:sz w:val="16"/>
                <w:szCs w:val="16"/>
              </w:rPr>
            </w:pPr>
          </w:p>
        </w:tc>
        <w:tc>
          <w:tcPr>
            <w:tcW w:w="1620" w:type="dxa"/>
          </w:tcPr>
          <w:p w:rsidR="002260C6" w:rsidRPr="006D0DA3" w:rsidRDefault="002260C6" w:rsidP="00F23BA0">
            <w:pPr>
              <w:spacing w:after="0" w:line="240" w:lineRule="auto"/>
              <w:jc w:val="right"/>
              <w:rPr>
                <w:rFonts w:asciiTheme="minorHAnsi" w:hAnsiTheme="minorHAnsi" w:cstheme="minorHAnsi"/>
                <w:b/>
                <w:bCs/>
                <w:color w:val="000000"/>
                <w:sz w:val="16"/>
                <w:szCs w:val="16"/>
              </w:rPr>
            </w:pPr>
          </w:p>
        </w:tc>
      </w:tr>
      <w:tr w:rsidR="002260C6" w:rsidRPr="006D0DA3" w:rsidTr="002260C6">
        <w:trPr>
          <w:trHeight w:val="58"/>
        </w:trPr>
        <w:tc>
          <w:tcPr>
            <w:tcW w:w="3348" w:type="dxa"/>
            <w:noWrap/>
          </w:tcPr>
          <w:p w:rsidR="002260C6" w:rsidRPr="006D0DA3" w:rsidRDefault="002260C6" w:rsidP="003A4F0E">
            <w:pPr>
              <w:spacing w:after="0" w:line="240" w:lineRule="auto"/>
              <w:jc w:val="right"/>
              <w:rPr>
                <w:rFonts w:asciiTheme="minorHAnsi" w:hAnsiTheme="minorHAnsi" w:cstheme="minorHAnsi"/>
                <w:color w:val="000000"/>
                <w:sz w:val="16"/>
                <w:szCs w:val="16"/>
              </w:rPr>
            </w:pP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p>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Preceding</w:t>
            </w:r>
          </w:p>
        </w:tc>
        <w:tc>
          <w:tcPr>
            <w:tcW w:w="1620" w:type="dxa"/>
            <w:noWrap/>
          </w:tcPr>
          <w:p w:rsidR="002260C6" w:rsidRPr="006D0DA3" w:rsidRDefault="002260C6" w:rsidP="003A4F0E">
            <w:pPr>
              <w:spacing w:after="0" w:line="240" w:lineRule="auto"/>
              <w:ind w:right="-108"/>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                   </w:t>
            </w:r>
            <w:r w:rsidRPr="006D0DA3">
              <w:rPr>
                <w:rFonts w:asciiTheme="minorHAnsi" w:hAnsiTheme="minorHAnsi" w:cstheme="minorHAnsi"/>
                <w:b/>
                <w:bCs/>
                <w:color w:val="000000"/>
                <w:sz w:val="16"/>
                <w:szCs w:val="16"/>
              </w:rPr>
              <w:t>(Unaudited)</w:t>
            </w: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(Unaudited)</w:t>
            </w:r>
          </w:p>
          <w:p w:rsidR="002260C6" w:rsidRPr="006D0DA3" w:rsidRDefault="002260C6" w:rsidP="003A4F0E">
            <w:pPr>
              <w:spacing w:after="0" w:line="240" w:lineRule="auto"/>
              <w:jc w:val="right"/>
              <w:rPr>
                <w:rFonts w:asciiTheme="minorHAnsi" w:hAnsiTheme="minorHAnsi" w:cstheme="minorHAnsi"/>
                <w:b/>
                <w:bCs/>
                <w:color w:val="000000"/>
                <w:sz w:val="16"/>
                <w:szCs w:val="16"/>
              </w:rPr>
            </w:pPr>
          </w:p>
        </w:tc>
      </w:tr>
      <w:tr w:rsidR="002260C6" w:rsidRPr="006D0DA3" w:rsidTr="002260C6">
        <w:trPr>
          <w:trHeight w:val="58"/>
        </w:trPr>
        <w:tc>
          <w:tcPr>
            <w:tcW w:w="3348" w:type="dxa"/>
            <w:noWrap/>
          </w:tcPr>
          <w:p w:rsidR="002260C6" w:rsidRPr="006D0DA3" w:rsidRDefault="002260C6" w:rsidP="003A4F0E">
            <w:pPr>
              <w:spacing w:after="0" w:line="240" w:lineRule="auto"/>
              <w:jc w:val="right"/>
              <w:rPr>
                <w:rFonts w:asciiTheme="minorHAnsi" w:hAnsiTheme="minorHAnsi" w:cstheme="minorHAnsi"/>
                <w:color w:val="000000"/>
                <w:sz w:val="16"/>
                <w:szCs w:val="16"/>
              </w:rPr>
            </w:pP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Current</w:t>
            </w: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Period</w:t>
            </w: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p>
        </w:tc>
        <w:tc>
          <w:tcPr>
            <w:tcW w:w="1620" w:type="dxa"/>
            <w:noWrap/>
          </w:tcPr>
          <w:p w:rsidR="002260C6" w:rsidRPr="006D0DA3" w:rsidRDefault="002260C6" w:rsidP="00A94CA5">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Preceding</w:t>
            </w:r>
          </w:p>
        </w:tc>
      </w:tr>
      <w:tr w:rsidR="002260C6" w:rsidRPr="006D0DA3" w:rsidTr="002260C6">
        <w:trPr>
          <w:trHeight w:val="58"/>
        </w:trPr>
        <w:tc>
          <w:tcPr>
            <w:tcW w:w="3348" w:type="dxa"/>
            <w:noWrap/>
          </w:tcPr>
          <w:p w:rsidR="002260C6" w:rsidRPr="006D0DA3" w:rsidRDefault="002260C6" w:rsidP="003A4F0E">
            <w:pPr>
              <w:spacing w:after="0" w:line="240" w:lineRule="auto"/>
              <w:jc w:val="right"/>
              <w:rPr>
                <w:rFonts w:asciiTheme="minorHAnsi" w:hAnsiTheme="minorHAnsi" w:cstheme="minorHAnsi"/>
                <w:color w:val="000000"/>
                <w:sz w:val="16"/>
                <w:szCs w:val="16"/>
              </w:rPr>
            </w:pPr>
          </w:p>
        </w:tc>
        <w:tc>
          <w:tcPr>
            <w:tcW w:w="1620" w:type="dxa"/>
            <w:noWrap/>
          </w:tcPr>
          <w:p w:rsidR="002260C6" w:rsidRPr="006D0DA3" w:rsidRDefault="002260C6" w:rsidP="00027599">
            <w:pPr>
              <w:spacing w:after="0" w:line="240" w:lineRule="auto"/>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Month</w:t>
            </w: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Corresponding</w:t>
            </w:r>
          </w:p>
        </w:tc>
        <w:tc>
          <w:tcPr>
            <w:tcW w:w="1620" w:type="dxa"/>
            <w:noWrap/>
          </w:tcPr>
          <w:p w:rsidR="002260C6" w:rsidRPr="006D0DA3" w:rsidRDefault="002260C6" w:rsidP="00027599">
            <w:pPr>
              <w:spacing w:after="0" w:line="240" w:lineRule="auto"/>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16</w:t>
            </w:r>
            <w:r w:rsidRPr="006D0DA3">
              <w:rPr>
                <w:rFonts w:asciiTheme="minorHAnsi" w:hAnsiTheme="minorHAnsi" w:cstheme="minorHAnsi"/>
                <w:b/>
                <w:bCs/>
                <w:color w:val="000000"/>
                <w:sz w:val="16"/>
                <w:szCs w:val="16"/>
              </w:rPr>
              <w:t xml:space="preserve"> months</w:t>
            </w: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corresponding</w:t>
            </w:r>
          </w:p>
        </w:tc>
      </w:tr>
      <w:tr w:rsidR="002260C6" w:rsidRPr="006D0DA3" w:rsidTr="002260C6">
        <w:trPr>
          <w:trHeight w:val="58"/>
        </w:trPr>
        <w:tc>
          <w:tcPr>
            <w:tcW w:w="3348" w:type="dxa"/>
            <w:noWrap/>
          </w:tcPr>
          <w:p w:rsidR="002260C6" w:rsidRPr="006D0DA3" w:rsidRDefault="002260C6" w:rsidP="003A4F0E">
            <w:pPr>
              <w:spacing w:after="0" w:line="240" w:lineRule="auto"/>
              <w:jc w:val="right"/>
              <w:rPr>
                <w:rFonts w:asciiTheme="minorHAnsi" w:hAnsiTheme="minorHAnsi" w:cstheme="minorHAnsi"/>
                <w:color w:val="000000"/>
                <w:sz w:val="16"/>
                <w:szCs w:val="16"/>
              </w:rPr>
            </w:pP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Ended</w:t>
            </w: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Quarter Ended</w:t>
            </w: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to date ended</w:t>
            </w:r>
          </w:p>
        </w:tc>
        <w:tc>
          <w:tcPr>
            <w:tcW w:w="1620" w:type="dxa"/>
            <w:noWrap/>
          </w:tcPr>
          <w:p w:rsidR="002260C6" w:rsidRPr="006D0DA3" w:rsidRDefault="005829A6" w:rsidP="003A4F0E">
            <w:pPr>
              <w:spacing w:after="0" w:line="240" w:lineRule="auto"/>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w:t>
            </w:r>
            <w:r w:rsidR="002260C6">
              <w:rPr>
                <w:rFonts w:asciiTheme="minorHAnsi" w:hAnsiTheme="minorHAnsi" w:cstheme="minorHAnsi"/>
                <w:b/>
                <w:bCs/>
                <w:color w:val="000000"/>
                <w:sz w:val="16"/>
                <w:szCs w:val="16"/>
              </w:rPr>
              <w:t xml:space="preserve"> months </w:t>
            </w:r>
            <w:r w:rsidR="002260C6" w:rsidRPr="006D0DA3">
              <w:rPr>
                <w:rFonts w:asciiTheme="minorHAnsi" w:hAnsiTheme="minorHAnsi" w:cstheme="minorHAnsi"/>
                <w:b/>
                <w:bCs/>
                <w:color w:val="000000"/>
                <w:sz w:val="16"/>
                <w:szCs w:val="16"/>
              </w:rPr>
              <w:t>Period Ended</w:t>
            </w:r>
          </w:p>
        </w:tc>
      </w:tr>
      <w:tr w:rsidR="002260C6" w:rsidRPr="006D0DA3" w:rsidTr="002260C6">
        <w:trPr>
          <w:trHeight w:val="225"/>
        </w:trPr>
        <w:tc>
          <w:tcPr>
            <w:tcW w:w="3348" w:type="dxa"/>
            <w:noWrap/>
          </w:tcPr>
          <w:p w:rsidR="002260C6" w:rsidRPr="006D0DA3" w:rsidRDefault="002260C6" w:rsidP="003A4F0E">
            <w:pPr>
              <w:spacing w:after="0" w:line="240" w:lineRule="auto"/>
              <w:jc w:val="right"/>
              <w:rPr>
                <w:rFonts w:asciiTheme="minorHAnsi" w:hAnsiTheme="minorHAnsi" w:cstheme="minorHAnsi"/>
                <w:color w:val="000000"/>
                <w:sz w:val="16"/>
                <w:szCs w:val="16"/>
              </w:rPr>
            </w:pPr>
          </w:p>
        </w:tc>
        <w:tc>
          <w:tcPr>
            <w:tcW w:w="1620" w:type="dxa"/>
            <w:noWrap/>
          </w:tcPr>
          <w:p w:rsidR="002260C6" w:rsidRPr="006D0DA3" w:rsidRDefault="002260C6" w:rsidP="00027599">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3</w:t>
            </w:r>
            <w:r>
              <w:rPr>
                <w:rFonts w:asciiTheme="minorHAnsi" w:hAnsiTheme="minorHAnsi" w:cstheme="minorHAnsi"/>
                <w:b/>
                <w:bCs/>
                <w:color w:val="000000"/>
                <w:sz w:val="16"/>
                <w:szCs w:val="16"/>
              </w:rPr>
              <w:t>1 July</w:t>
            </w:r>
            <w:r w:rsidRPr="006D0DA3">
              <w:rPr>
                <w:rFonts w:asciiTheme="minorHAnsi" w:hAnsiTheme="minorHAnsi" w:cstheme="minorHAnsi"/>
                <w:b/>
                <w:bCs/>
                <w:color w:val="000000"/>
                <w:sz w:val="16"/>
                <w:szCs w:val="16"/>
              </w:rPr>
              <w:t xml:space="preserve"> 201</w:t>
            </w:r>
            <w:r>
              <w:rPr>
                <w:rFonts w:asciiTheme="minorHAnsi" w:hAnsiTheme="minorHAnsi" w:cstheme="minorHAnsi"/>
                <w:b/>
                <w:bCs/>
                <w:color w:val="000000"/>
                <w:sz w:val="16"/>
                <w:szCs w:val="16"/>
              </w:rPr>
              <w:t>6</w:t>
            </w:r>
          </w:p>
        </w:tc>
        <w:tc>
          <w:tcPr>
            <w:tcW w:w="1620" w:type="dxa"/>
            <w:noWrap/>
          </w:tcPr>
          <w:p w:rsidR="002260C6" w:rsidRPr="006D0DA3" w:rsidRDefault="002260C6" w:rsidP="00A94CA5">
            <w:pPr>
              <w:tabs>
                <w:tab w:val="left" w:pos="1207"/>
              </w:tabs>
              <w:spacing w:after="0" w:line="240" w:lineRule="auto"/>
              <w:ind w:right="-20"/>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       </w:t>
            </w:r>
            <w:r w:rsidR="009A6796">
              <w:rPr>
                <w:rFonts w:asciiTheme="minorHAnsi" w:hAnsiTheme="minorHAnsi" w:cstheme="minorHAnsi"/>
                <w:b/>
                <w:bCs/>
                <w:color w:val="000000"/>
                <w:sz w:val="16"/>
                <w:szCs w:val="16"/>
              </w:rPr>
              <w:t>31 July 2015</w:t>
            </w:r>
          </w:p>
        </w:tc>
        <w:tc>
          <w:tcPr>
            <w:tcW w:w="1620" w:type="dxa"/>
            <w:noWrap/>
          </w:tcPr>
          <w:p w:rsidR="002260C6" w:rsidRPr="006D0DA3" w:rsidRDefault="002260C6" w:rsidP="00027599">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3</w:t>
            </w:r>
            <w:r>
              <w:rPr>
                <w:rFonts w:asciiTheme="minorHAnsi" w:hAnsiTheme="minorHAnsi" w:cstheme="minorHAnsi"/>
                <w:b/>
                <w:bCs/>
                <w:color w:val="000000"/>
                <w:sz w:val="16"/>
                <w:szCs w:val="16"/>
              </w:rPr>
              <w:t>1 July</w:t>
            </w:r>
            <w:r w:rsidRPr="006D0DA3">
              <w:rPr>
                <w:rFonts w:asciiTheme="minorHAnsi" w:hAnsiTheme="minorHAnsi" w:cstheme="minorHAnsi"/>
                <w:b/>
                <w:bCs/>
                <w:color w:val="000000"/>
                <w:sz w:val="16"/>
                <w:szCs w:val="16"/>
              </w:rPr>
              <w:t xml:space="preserve"> 201</w:t>
            </w:r>
            <w:r>
              <w:rPr>
                <w:rFonts w:asciiTheme="minorHAnsi" w:hAnsiTheme="minorHAnsi" w:cstheme="minorHAnsi"/>
                <w:b/>
                <w:bCs/>
                <w:color w:val="000000"/>
                <w:sz w:val="16"/>
                <w:szCs w:val="16"/>
              </w:rPr>
              <w:t>6</w:t>
            </w:r>
          </w:p>
        </w:tc>
        <w:tc>
          <w:tcPr>
            <w:tcW w:w="1620" w:type="dxa"/>
            <w:noWrap/>
          </w:tcPr>
          <w:p w:rsidR="002260C6" w:rsidRPr="006D0DA3" w:rsidRDefault="009A6796" w:rsidP="00A94CA5">
            <w:pPr>
              <w:spacing w:after="0" w:line="240" w:lineRule="auto"/>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31 July 2015</w:t>
            </w:r>
          </w:p>
        </w:tc>
      </w:tr>
      <w:tr w:rsidR="002260C6" w:rsidRPr="006D0DA3" w:rsidTr="002260C6">
        <w:trPr>
          <w:trHeight w:val="58"/>
        </w:trPr>
        <w:tc>
          <w:tcPr>
            <w:tcW w:w="3348" w:type="dxa"/>
            <w:noWrap/>
          </w:tcPr>
          <w:p w:rsidR="002260C6" w:rsidRPr="006D0DA3" w:rsidRDefault="002260C6" w:rsidP="003A4F0E">
            <w:pPr>
              <w:spacing w:after="0" w:line="240" w:lineRule="auto"/>
              <w:jc w:val="right"/>
              <w:rPr>
                <w:rFonts w:asciiTheme="minorHAnsi" w:hAnsiTheme="minorHAnsi" w:cstheme="minorHAnsi"/>
                <w:color w:val="000000"/>
                <w:sz w:val="16"/>
                <w:szCs w:val="16"/>
              </w:rPr>
            </w:pP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RM'000</w:t>
            </w: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RM'000</w:t>
            </w:r>
          </w:p>
        </w:tc>
        <w:tc>
          <w:tcPr>
            <w:tcW w:w="1620" w:type="dxa"/>
            <w:noWrap/>
          </w:tcPr>
          <w:p w:rsidR="002260C6" w:rsidRPr="006D0DA3" w:rsidRDefault="002260C6" w:rsidP="003A4F0E">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RM'000</w:t>
            </w:r>
          </w:p>
        </w:tc>
        <w:tc>
          <w:tcPr>
            <w:tcW w:w="1620" w:type="dxa"/>
            <w:noWrap/>
          </w:tcPr>
          <w:p w:rsidR="002260C6" w:rsidRPr="006D0DA3" w:rsidRDefault="002260C6" w:rsidP="002505E4">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RM'000</w:t>
            </w:r>
          </w:p>
        </w:tc>
      </w:tr>
      <w:tr w:rsidR="009A6796" w:rsidRPr="006D0DA3" w:rsidTr="002260C6">
        <w:trPr>
          <w:trHeight w:val="58"/>
        </w:trPr>
        <w:tc>
          <w:tcPr>
            <w:tcW w:w="3348" w:type="dxa"/>
            <w:noWrap/>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noWrap/>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noWrap/>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noWrap/>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noWrap/>
          </w:tcPr>
          <w:p w:rsidR="009A6796" w:rsidRPr="006D0DA3"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bCs/>
                <w:color w:val="000000"/>
                <w:sz w:val="16"/>
                <w:szCs w:val="16"/>
              </w:rPr>
            </w:pPr>
            <w:r w:rsidRPr="006D0DA3">
              <w:rPr>
                <w:rFonts w:asciiTheme="minorHAnsi" w:hAnsiTheme="minorHAnsi" w:cstheme="minorHAnsi"/>
                <w:bCs/>
                <w:color w:val="000000"/>
                <w:sz w:val="16"/>
                <w:szCs w:val="16"/>
              </w:rPr>
              <w:t>Revenue</w:t>
            </w:r>
          </w:p>
        </w:tc>
        <w:tc>
          <w:tcPr>
            <w:tcW w:w="1620" w:type="dxa"/>
            <w:tcBorders>
              <w:top w:val="nil"/>
              <w:left w:val="nil"/>
              <w:bottom w:val="nil"/>
              <w:right w:val="nil"/>
            </w:tcBorders>
            <w:noWrap/>
            <w:vAlign w:val="bottom"/>
          </w:tcPr>
          <w:p w:rsidR="009A6796" w:rsidRPr="006D0DA3" w:rsidRDefault="009A6796" w:rsidP="00027599">
            <w:pPr>
              <w:spacing w:after="0" w:line="240" w:lineRule="auto"/>
              <w:ind w:right="-18"/>
              <w:jc w:val="right"/>
              <w:rPr>
                <w:rFonts w:asciiTheme="minorHAnsi" w:hAnsiTheme="minorHAnsi" w:cstheme="minorHAnsi"/>
                <w:color w:val="000000"/>
                <w:sz w:val="16"/>
                <w:szCs w:val="16"/>
              </w:rPr>
            </w:pPr>
            <w:r>
              <w:rPr>
                <w:rFonts w:asciiTheme="minorHAnsi" w:hAnsiTheme="minorHAnsi" w:cstheme="minorHAnsi"/>
                <w:color w:val="000000"/>
                <w:sz w:val="16"/>
                <w:szCs w:val="16"/>
              </w:rPr>
              <w:t>37</w:t>
            </w:r>
          </w:p>
        </w:tc>
        <w:tc>
          <w:tcPr>
            <w:tcW w:w="1620" w:type="dxa"/>
            <w:tcBorders>
              <w:top w:val="nil"/>
              <w:left w:val="nil"/>
              <w:bottom w:val="nil"/>
              <w:right w:val="nil"/>
            </w:tcBorders>
            <w:noWrap/>
            <w:vAlign w:val="bottom"/>
          </w:tcPr>
          <w:p w:rsidR="009A6796" w:rsidRPr="00404804" w:rsidRDefault="009A6796" w:rsidP="002505E4">
            <w:pPr>
              <w:spacing w:after="0" w:line="240" w:lineRule="auto"/>
              <w:ind w:right="80"/>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963480">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3,678</w:t>
            </w:r>
          </w:p>
        </w:tc>
        <w:tc>
          <w:tcPr>
            <w:tcW w:w="1620" w:type="dxa"/>
            <w:tcBorders>
              <w:top w:val="nil"/>
              <w:left w:val="nil"/>
              <w:bottom w:val="nil"/>
              <w:right w:val="nil"/>
            </w:tcBorders>
            <w:noWrap/>
            <w:vAlign w:val="bottom"/>
          </w:tcPr>
          <w:p w:rsidR="009A6796" w:rsidRPr="00404804" w:rsidRDefault="009A6796" w:rsidP="009A6796">
            <w:pPr>
              <w:spacing w:after="0" w:line="240" w:lineRule="auto"/>
              <w:ind w:right="80"/>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Cost of Sales</w:t>
            </w:r>
          </w:p>
        </w:tc>
        <w:tc>
          <w:tcPr>
            <w:tcW w:w="1620" w:type="dxa"/>
            <w:tcBorders>
              <w:top w:val="nil"/>
              <w:left w:val="nil"/>
              <w:bottom w:val="single" w:sz="4" w:space="0" w:color="auto"/>
              <w:right w:val="nil"/>
            </w:tcBorders>
            <w:noWrap/>
            <w:vAlign w:val="bottom"/>
          </w:tcPr>
          <w:p w:rsidR="009A6796" w:rsidRPr="006D0DA3" w:rsidRDefault="009A6796" w:rsidP="0002759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(179)</w:t>
            </w:r>
          </w:p>
        </w:tc>
        <w:tc>
          <w:tcPr>
            <w:tcW w:w="1620" w:type="dxa"/>
            <w:tcBorders>
              <w:top w:val="nil"/>
              <w:left w:val="nil"/>
              <w:bottom w:val="single" w:sz="4" w:space="0" w:color="auto"/>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single" w:sz="4" w:space="0" w:color="auto"/>
              <w:right w:val="nil"/>
            </w:tcBorders>
            <w:noWrap/>
            <w:vAlign w:val="bottom"/>
          </w:tcPr>
          <w:p w:rsidR="009A6796" w:rsidRPr="006D0DA3" w:rsidRDefault="009A6796" w:rsidP="00963480">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(4,116)</w:t>
            </w:r>
          </w:p>
        </w:tc>
        <w:tc>
          <w:tcPr>
            <w:tcW w:w="1620" w:type="dxa"/>
            <w:tcBorders>
              <w:top w:val="nil"/>
              <w:left w:val="nil"/>
              <w:bottom w:val="single" w:sz="4" w:space="0" w:color="auto"/>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216"/>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Gross Profit/(Loss)</w:t>
            </w:r>
          </w:p>
        </w:tc>
        <w:tc>
          <w:tcPr>
            <w:tcW w:w="1620" w:type="dxa"/>
            <w:tcBorders>
              <w:top w:val="nil"/>
              <w:left w:val="nil"/>
              <w:bottom w:val="nil"/>
              <w:right w:val="nil"/>
            </w:tcBorders>
            <w:noWrap/>
            <w:vAlign w:val="bottom"/>
          </w:tcPr>
          <w:p w:rsidR="009A6796" w:rsidRPr="006D0DA3" w:rsidRDefault="009A6796" w:rsidP="0002759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(142)</w:t>
            </w: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(438)</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162"/>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rPr>
                <w:rFonts w:asciiTheme="minorHAnsi" w:hAnsiTheme="minorHAnsi" w:cstheme="minorHAnsi"/>
                <w:color w:val="000000"/>
                <w:sz w:val="16"/>
                <w:szCs w:val="16"/>
              </w:rPr>
            </w:pPr>
          </w:p>
        </w:tc>
      </w:tr>
      <w:tr w:rsidR="009A6796" w:rsidRPr="006D0DA3" w:rsidTr="002260C6">
        <w:trPr>
          <w:trHeight w:val="162"/>
        </w:trPr>
        <w:tc>
          <w:tcPr>
            <w:tcW w:w="3348" w:type="dxa"/>
            <w:tcBorders>
              <w:top w:val="nil"/>
              <w:left w:val="nil"/>
              <w:bottom w:val="nil"/>
              <w:right w:val="nil"/>
            </w:tcBorders>
            <w:noWrap/>
            <w:vAlign w:val="bottom"/>
          </w:tcPr>
          <w:p w:rsidR="009A6796" w:rsidRPr="006D0DA3" w:rsidRDefault="009A6796" w:rsidP="00F611CC">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Pr="006D0DA3">
              <w:rPr>
                <w:rFonts w:asciiTheme="minorHAnsi" w:hAnsiTheme="minorHAnsi" w:cstheme="minorHAnsi"/>
                <w:color w:val="000000"/>
                <w:sz w:val="16"/>
                <w:szCs w:val="16"/>
              </w:rPr>
              <w:t>Other income</w:t>
            </w:r>
            <w:r>
              <w:rPr>
                <w:rFonts w:asciiTheme="minorHAnsi" w:hAnsiTheme="minorHAnsi" w:cstheme="minorHAnsi"/>
                <w:color w:val="000000"/>
                <w:sz w:val="16"/>
                <w:szCs w:val="16"/>
              </w:rPr>
              <w:t xml:space="preserve">/(loss) </w:t>
            </w:r>
          </w:p>
        </w:tc>
        <w:tc>
          <w:tcPr>
            <w:tcW w:w="1620" w:type="dxa"/>
            <w:tcBorders>
              <w:top w:val="nil"/>
              <w:left w:val="nil"/>
              <w:bottom w:val="nil"/>
              <w:right w:val="nil"/>
            </w:tcBorders>
            <w:noWrap/>
            <w:vAlign w:val="bottom"/>
          </w:tcPr>
          <w:p w:rsidR="009A6796" w:rsidRPr="006D0DA3" w:rsidRDefault="009A6796" w:rsidP="00F611CC">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Pr="00404804">
              <w:rPr>
                <w:rFonts w:asciiTheme="minorHAnsi" w:hAnsiTheme="minorHAnsi" w:cstheme="minorHAnsi"/>
                <w:color w:val="000000"/>
                <w:sz w:val="16"/>
                <w:szCs w:val="16"/>
              </w:rPr>
              <w:t xml:space="preserve"> </w:t>
            </w:r>
          </w:p>
        </w:tc>
        <w:tc>
          <w:tcPr>
            <w:tcW w:w="1620" w:type="dxa"/>
            <w:tcBorders>
              <w:top w:val="nil"/>
              <w:left w:val="nil"/>
              <w:bottom w:val="nil"/>
              <w:right w:val="nil"/>
            </w:tcBorders>
            <w:noWrap/>
            <w:vAlign w:val="bottom"/>
          </w:tcPr>
          <w:p w:rsidR="009A6796" w:rsidRPr="006D0DA3" w:rsidRDefault="009A6796" w:rsidP="00BB4FC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4,116</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Pr="00404804">
              <w:rPr>
                <w:rFonts w:asciiTheme="minorHAnsi" w:hAnsiTheme="minorHAnsi" w:cstheme="minorHAnsi"/>
                <w:color w:val="000000"/>
                <w:sz w:val="16"/>
                <w:szCs w:val="16"/>
              </w:rPr>
              <w:t xml:space="preserve"> </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135"/>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Administrative expenses</w:t>
            </w:r>
          </w:p>
        </w:tc>
        <w:tc>
          <w:tcPr>
            <w:tcW w:w="1620" w:type="dxa"/>
            <w:tcBorders>
              <w:top w:val="nil"/>
              <w:left w:val="nil"/>
              <w:bottom w:val="nil"/>
              <w:right w:val="nil"/>
            </w:tcBorders>
            <w:noWrap/>
            <w:vAlign w:val="bottom"/>
          </w:tcPr>
          <w:p w:rsidR="009A6796" w:rsidRPr="006D0DA3" w:rsidRDefault="009A6796" w:rsidP="00027599">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Pr>
                <w:rFonts w:asciiTheme="minorHAnsi" w:hAnsiTheme="minorHAnsi" w:cstheme="minorHAnsi"/>
                <w:color w:val="000000"/>
                <w:sz w:val="16"/>
                <w:szCs w:val="16"/>
              </w:rPr>
              <w:t>257</w:t>
            </w:r>
            <w:r w:rsidRPr="006D0DA3">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504220">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(8,629)</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19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Selling and distribution expenses</w:t>
            </w:r>
          </w:p>
        </w:tc>
        <w:tc>
          <w:tcPr>
            <w:tcW w:w="1620" w:type="dxa"/>
            <w:tcBorders>
              <w:top w:val="nil"/>
              <w:left w:val="nil"/>
              <w:bottom w:val="nil"/>
              <w:right w:val="nil"/>
            </w:tcBorders>
            <w:noWrap/>
            <w:vAlign w:val="bottom"/>
          </w:tcPr>
          <w:p w:rsidR="009A6796" w:rsidRPr="006D0DA3" w:rsidRDefault="009A6796" w:rsidP="0002759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(10)</w:t>
            </w: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(523)</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noWrap/>
          </w:tcPr>
          <w:p w:rsidR="009A6796" w:rsidRPr="006D0DA3" w:rsidRDefault="009A6796" w:rsidP="003A4F0E">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Other </w:t>
            </w:r>
            <w:r>
              <w:rPr>
                <w:rFonts w:asciiTheme="minorHAnsi" w:hAnsiTheme="minorHAnsi" w:cstheme="minorHAnsi"/>
                <w:color w:val="000000"/>
                <w:sz w:val="16"/>
                <w:szCs w:val="16"/>
              </w:rPr>
              <w:t xml:space="preserve">Income/ </w:t>
            </w:r>
            <w:r w:rsidRPr="006D0DA3">
              <w:rPr>
                <w:rFonts w:asciiTheme="minorHAnsi" w:hAnsiTheme="minorHAnsi" w:cstheme="minorHAnsi"/>
                <w:color w:val="000000"/>
                <w:sz w:val="16"/>
                <w:szCs w:val="16"/>
              </w:rPr>
              <w:t>expenses</w:t>
            </w:r>
          </w:p>
        </w:tc>
        <w:tc>
          <w:tcPr>
            <w:tcW w:w="1620" w:type="dxa"/>
            <w:noWrap/>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noWrap/>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noWrap/>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noWrap/>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noWrap/>
          </w:tcPr>
          <w:p w:rsidR="009A6796" w:rsidRPr="006D0DA3" w:rsidRDefault="009A6796" w:rsidP="003A4F0E">
            <w:pPr>
              <w:spacing w:after="0" w:line="240" w:lineRule="auto"/>
              <w:ind w:left="176" w:hanging="176"/>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 Share-based compensation pursuant to option granted under the Share Issuance Scheme (“SIS”)</w:t>
            </w:r>
          </w:p>
        </w:tc>
        <w:tc>
          <w:tcPr>
            <w:tcW w:w="1620" w:type="dxa"/>
            <w:noWrap/>
          </w:tcPr>
          <w:p w:rsidR="009A6796" w:rsidRPr="006D0DA3" w:rsidRDefault="009A6796" w:rsidP="003A4F0E">
            <w:pPr>
              <w:spacing w:after="0" w:line="240" w:lineRule="auto"/>
              <w:jc w:val="right"/>
              <w:rPr>
                <w:rFonts w:asciiTheme="minorHAnsi" w:hAnsiTheme="minorHAnsi" w:cstheme="minorHAnsi"/>
                <w:color w:val="000000"/>
                <w:sz w:val="16"/>
                <w:szCs w:val="16"/>
              </w:rPr>
            </w:pPr>
          </w:p>
          <w:p w:rsidR="009A6796" w:rsidRPr="006D0DA3" w:rsidRDefault="009A6796" w:rsidP="003A4F0E">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620" w:type="dxa"/>
            <w:noWrap/>
          </w:tcPr>
          <w:p w:rsidR="009A6796" w:rsidRDefault="009A6796" w:rsidP="002505E4">
            <w:pPr>
              <w:spacing w:after="0" w:line="240" w:lineRule="auto"/>
              <w:jc w:val="right"/>
              <w:rPr>
                <w:rFonts w:asciiTheme="minorHAnsi" w:hAnsiTheme="minorHAnsi" w:cstheme="minorHAnsi"/>
                <w:color w:val="000000"/>
                <w:sz w:val="16"/>
                <w:szCs w:val="16"/>
              </w:rPr>
            </w:pPr>
          </w:p>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noWrap/>
          </w:tcPr>
          <w:p w:rsidR="009A6796" w:rsidRDefault="009A6796" w:rsidP="003A4F0E">
            <w:pPr>
              <w:spacing w:after="0" w:line="240" w:lineRule="auto"/>
              <w:jc w:val="right"/>
              <w:rPr>
                <w:rFonts w:asciiTheme="minorHAnsi" w:hAnsiTheme="minorHAnsi" w:cstheme="minorHAnsi"/>
                <w:color w:val="000000"/>
                <w:sz w:val="16"/>
                <w:szCs w:val="16"/>
              </w:rPr>
            </w:pPr>
          </w:p>
          <w:p w:rsidR="009A6796" w:rsidRPr="006D0DA3" w:rsidRDefault="009A6796" w:rsidP="00544601">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(6,537)</w:t>
            </w:r>
          </w:p>
        </w:tc>
        <w:tc>
          <w:tcPr>
            <w:tcW w:w="1620" w:type="dxa"/>
            <w:noWrap/>
          </w:tcPr>
          <w:p w:rsidR="009A6796" w:rsidRDefault="009A6796" w:rsidP="009A6796">
            <w:pPr>
              <w:spacing w:after="0" w:line="240" w:lineRule="auto"/>
              <w:jc w:val="right"/>
              <w:rPr>
                <w:rFonts w:asciiTheme="minorHAnsi" w:hAnsiTheme="minorHAnsi" w:cstheme="minorHAnsi"/>
                <w:color w:val="000000"/>
                <w:sz w:val="16"/>
                <w:szCs w:val="16"/>
              </w:rPr>
            </w:pPr>
          </w:p>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58"/>
        </w:trPr>
        <w:tc>
          <w:tcPr>
            <w:tcW w:w="3348" w:type="dxa"/>
            <w:noWrap/>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single" w:sz="4" w:space="0" w:color="auto"/>
            </w:tcBorders>
            <w:noWrap/>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single" w:sz="4" w:space="0" w:color="auto"/>
            </w:tcBorders>
            <w:noWrap/>
            <w:vAlign w:val="bottom"/>
          </w:tcPr>
          <w:p w:rsidR="009A6796" w:rsidRPr="00404804" w:rsidRDefault="009A6796" w:rsidP="00404804">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p>
        </w:tc>
        <w:tc>
          <w:tcPr>
            <w:tcW w:w="1620" w:type="dxa"/>
            <w:tcBorders>
              <w:top w:val="single" w:sz="4" w:space="0" w:color="auto"/>
            </w:tcBorders>
            <w:noWrap/>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single" w:sz="4" w:space="0" w:color="auto"/>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p>
        </w:tc>
      </w:tr>
      <w:tr w:rsidR="009A6796" w:rsidRPr="006D0DA3" w:rsidTr="002260C6">
        <w:trPr>
          <w:trHeight w:val="135"/>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Operating Profit/(Loss)</w:t>
            </w:r>
          </w:p>
        </w:tc>
        <w:tc>
          <w:tcPr>
            <w:tcW w:w="1620" w:type="dxa"/>
            <w:tcBorders>
              <w:top w:val="nil"/>
              <w:left w:val="nil"/>
              <w:bottom w:val="nil"/>
              <w:right w:val="nil"/>
            </w:tcBorders>
            <w:noWrap/>
            <w:vAlign w:val="bottom"/>
          </w:tcPr>
          <w:p w:rsidR="009A6796" w:rsidRPr="006D0DA3" w:rsidRDefault="009A6796" w:rsidP="0002759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(409)</w:t>
            </w:r>
            <w:r w:rsidRPr="006D0DA3">
              <w:rPr>
                <w:rFonts w:asciiTheme="minorHAnsi" w:hAnsiTheme="minorHAnsi" w:cstheme="minorHAnsi"/>
                <w:color w:val="000000"/>
                <w:sz w:val="16"/>
                <w:szCs w:val="16"/>
              </w:rPr>
              <w:t xml:space="preserve">   </w:t>
            </w: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6436DA">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(12,011)</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Finance cost</w:t>
            </w: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p>
        </w:tc>
        <w:tc>
          <w:tcPr>
            <w:tcW w:w="1620" w:type="dxa"/>
            <w:tcBorders>
              <w:top w:val="nil"/>
              <w:left w:val="nil"/>
              <w:bottom w:val="nil"/>
              <w:right w:val="nil"/>
            </w:tcBorders>
            <w:noWrap/>
            <w:vAlign w:val="bottom"/>
          </w:tcPr>
          <w:p w:rsidR="009A6796" w:rsidRPr="00404804" w:rsidRDefault="009A6796" w:rsidP="00DE0940">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DE0940">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Deconsolidation adjustment s</w:t>
            </w:r>
          </w:p>
        </w:tc>
        <w:tc>
          <w:tcPr>
            <w:tcW w:w="1620" w:type="dxa"/>
            <w:tcBorders>
              <w:top w:val="nil"/>
              <w:left w:val="nil"/>
              <w:bottom w:val="single" w:sz="4" w:space="0" w:color="auto"/>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single" w:sz="4" w:space="0" w:color="auto"/>
              <w:right w:val="nil"/>
            </w:tcBorders>
            <w:noWrap/>
            <w:vAlign w:val="bottom"/>
          </w:tcPr>
          <w:p w:rsidR="009A6796" w:rsidRPr="00404804" w:rsidRDefault="009A6796" w:rsidP="00DE0940">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w:t>
            </w:r>
          </w:p>
        </w:tc>
        <w:tc>
          <w:tcPr>
            <w:tcW w:w="1620" w:type="dxa"/>
            <w:tcBorders>
              <w:top w:val="nil"/>
              <w:left w:val="nil"/>
              <w:bottom w:val="single" w:sz="4" w:space="0" w:color="auto"/>
              <w:right w:val="nil"/>
            </w:tcBorders>
            <w:noWrap/>
            <w:vAlign w:val="bottom"/>
          </w:tcPr>
          <w:p w:rsidR="009A6796" w:rsidRPr="006D0DA3" w:rsidRDefault="009A6796" w:rsidP="00AA6273">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755</w:t>
            </w:r>
          </w:p>
        </w:tc>
        <w:tc>
          <w:tcPr>
            <w:tcW w:w="1620" w:type="dxa"/>
            <w:tcBorders>
              <w:top w:val="nil"/>
              <w:left w:val="nil"/>
              <w:bottom w:val="single" w:sz="4" w:space="0" w:color="auto"/>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162"/>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Profit/(Loss) Before Taxation</w:t>
            </w:r>
          </w:p>
        </w:tc>
        <w:tc>
          <w:tcPr>
            <w:tcW w:w="1620" w:type="dxa"/>
            <w:tcBorders>
              <w:top w:val="nil"/>
              <w:left w:val="nil"/>
              <w:bottom w:val="nil"/>
              <w:right w:val="nil"/>
            </w:tcBorders>
            <w:noWrap/>
            <w:vAlign w:val="bottom"/>
          </w:tcPr>
          <w:p w:rsidR="009A6796" w:rsidRPr="006D0DA3" w:rsidRDefault="009A6796" w:rsidP="0002759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(409)</w:t>
            </w:r>
            <w:r w:rsidRPr="006D0DA3">
              <w:rPr>
                <w:rFonts w:asciiTheme="minorHAnsi" w:hAnsiTheme="minorHAnsi" w:cstheme="minorHAnsi"/>
                <w:color w:val="000000"/>
                <w:sz w:val="16"/>
                <w:szCs w:val="16"/>
              </w:rPr>
              <w:t xml:space="preserve">   </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F6080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(11,256)</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Taxation</w:t>
            </w:r>
          </w:p>
        </w:tc>
        <w:tc>
          <w:tcPr>
            <w:tcW w:w="1620" w:type="dxa"/>
            <w:tcBorders>
              <w:top w:val="nil"/>
              <w:left w:val="nil"/>
              <w:bottom w:val="single" w:sz="4" w:space="0" w:color="auto"/>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620" w:type="dxa"/>
            <w:tcBorders>
              <w:top w:val="nil"/>
              <w:left w:val="nil"/>
              <w:bottom w:val="single" w:sz="4" w:space="0" w:color="auto"/>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p>
        </w:tc>
        <w:tc>
          <w:tcPr>
            <w:tcW w:w="1620" w:type="dxa"/>
            <w:tcBorders>
              <w:top w:val="nil"/>
              <w:left w:val="nil"/>
              <w:bottom w:val="single" w:sz="4" w:space="0" w:color="auto"/>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single" w:sz="4" w:space="0" w:color="auto"/>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180"/>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Net Profit/(Loss) After Taxation</w:t>
            </w:r>
          </w:p>
        </w:tc>
        <w:tc>
          <w:tcPr>
            <w:tcW w:w="1620" w:type="dxa"/>
            <w:tcBorders>
              <w:top w:val="nil"/>
              <w:left w:val="nil"/>
              <w:bottom w:val="nil"/>
              <w:right w:val="nil"/>
            </w:tcBorders>
            <w:noWrap/>
            <w:vAlign w:val="bottom"/>
          </w:tcPr>
          <w:p w:rsidR="009A6796" w:rsidRPr="006D0DA3" w:rsidRDefault="009A6796" w:rsidP="00AF611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(409)</w:t>
            </w:r>
            <w:r w:rsidRPr="006D0DA3">
              <w:rPr>
                <w:rFonts w:asciiTheme="minorHAnsi" w:hAnsiTheme="minorHAnsi" w:cstheme="minorHAnsi"/>
                <w:color w:val="000000"/>
                <w:sz w:val="16"/>
                <w:szCs w:val="16"/>
              </w:rPr>
              <w:t xml:space="preserve">   </w:t>
            </w: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F6080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(11,256)</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117"/>
        </w:trPr>
        <w:tc>
          <w:tcPr>
            <w:tcW w:w="3348" w:type="dxa"/>
            <w:tcBorders>
              <w:top w:val="nil"/>
              <w:left w:val="nil"/>
              <w:bottom w:val="nil"/>
              <w:right w:val="nil"/>
            </w:tcBorders>
            <w:noWrap/>
            <w:vAlign w:val="bottom"/>
          </w:tcPr>
          <w:p w:rsidR="009A6796" w:rsidRPr="006D0DA3" w:rsidRDefault="009A6796" w:rsidP="003A4F0E">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3A4F0E">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28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Other comprehensive loss, net of tax</w:t>
            </w:r>
          </w:p>
          <w:p w:rsidR="009A6796" w:rsidRPr="006D0DA3" w:rsidRDefault="009A6796" w:rsidP="00B07C09">
            <w:pPr>
              <w:spacing w:after="0" w:line="240" w:lineRule="auto"/>
              <w:contextualSpacing/>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Pr="006D0DA3">
              <w:rPr>
                <w:rFonts w:asciiTheme="minorHAnsi" w:hAnsiTheme="minorHAnsi" w:cstheme="minorHAnsi"/>
                <w:color w:val="000000"/>
                <w:sz w:val="16"/>
                <w:szCs w:val="16"/>
              </w:rPr>
              <w:t xml:space="preserve"> - Foreign currency translation on foreign entity</w:t>
            </w:r>
          </w:p>
        </w:tc>
        <w:tc>
          <w:tcPr>
            <w:tcW w:w="1620" w:type="dxa"/>
            <w:tcBorders>
              <w:top w:val="nil"/>
              <w:left w:val="nil"/>
              <w:bottom w:val="nil"/>
              <w:right w:val="nil"/>
            </w:tcBorders>
            <w:noWrap/>
            <w:vAlign w:val="bottom"/>
          </w:tcPr>
          <w:p w:rsidR="009A6796" w:rsidRPr="006D0DA3" w:rsidRDefault="009A6796" w:rsidP="0096441B">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FB492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(555)</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Total comprehensive income</w:t>
            </w:r>
            <w:r>
              <w:rPr>
                <w:rFonts w:asciiTheme="minorHAnsi" w:hAnsiTheme="minorHAnsi" w:cstheme="minorHAnsi"/>
                <w:b/>
                <w:color w:val="000000"/>
                <w:sz w:val="16"/>
                <w:szCs w:val="16"/>
              </w:rPr>
              <w:t>/(</w:t>
            </w:r>
            <w:r w:rsidRPr="006D0DA3">
              <w:rPr>
                <w:rFonts w:asciiTheme="minorHAnsi" w:hAnsiTheme="minorHAnsi" w:cstheme="minorHAnsi"/>
                <w:b/>
                <w:color w:val="000000"/>
                <w:sz w:val="16"/>
                <w:szCs w:val="16"/>
              </w:rPr>
              <w:t>loss</w:t>
            </w:r>
            <w:r>
              <w:rPr>
                <w:rFonts w:asciiTheme="minorHAnsi" w:hAnsiTheme="minorHAnsi" w:cstheme="minorHAnsi"/>
                <w:b/>
                <w:color w:val="000000"/>
                <w:sz w:val="16"/>
                <w:szCs w:val="16"/>
              </w:rPr>
              <w:t>)</w:t>
            </w:r>
          </w:p>
        </w:tc>
        <w:tc>
          <w:tcPr>
            <w:tcW w:w="1620" w:type="dxa"/>
            <w:tcBorders>
              <w:top w:val="single" w:sz="4" w:space="0" w:color="auto"/>
              <w:left w:val="nil"/>
              <w:bottom w:val="double" w:sz="6" w:space="0" w:color="auto"/>
              <w:right w:val="nil"/>
            </w:tcBorders>
            <w:noWrap/>
            <w:vAlign w:val="bottom"/>
          </w:tcPr>
          <w:p w:rsidR="009A6796" w:rsidRPr="006D0DA3" w:rsidRDefault="009A6796" w:rsidP="00AF611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(409)</w:t>
            </w:r>
            <w:r w:rsidRPr="006D0DA3">
              <w:rPr>
                <w:rFonts w:asciiTheme="minorHAnsi" w:hAnsiTheme="minorHAnsi" w:cstheme="minorHAnsi"/>
                <w:color w:val="000000"/>
                <w:sz w:val="16"/>
                <w:szCs w:val="16"/>
              </w:rPr>
              <w:t xml:space="preserve">   </w:t>
            </w:r>
          </w:p>
        </w:tc>
        <w:tc>
          <w:tcPr>
            <w:tcW w:w="1620" w:type="dxa"/>
            <w:tcBorders>
              <w:top w:val="single" w:sz="4" w:space="0" w:color="auto"/>
              <w:left w:val="nil"/>
              <w:bottom w:val="double" w:sz="6" w:space="0" w:color="auto"/>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single" w:sz="4" w:space="0" w:color="auto"/>
              <w:left w:val="nil"/>
              <w:bottom w:val="double" w:sz="6" w:space="0" w:color="auto"/>
              <w:right w:val="nil"/>
            </w:tcBorders>
            <w:noWrap/>
            <w:vAlign w:val="bottom"/>
          </w:tcPr>
          <w:p w:rsidR="009A6796" w:rsidRPr="006D0DA3" w:rsidRDefault="009A6796" w:rsidP="00F6080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(11,811)</w:t>
            </w:r>
          </w:p>
        </w:tc>
        <w:tc>
          <w:tcPr>
            <w:tcW w:w="1620" w:type="dxa"/>
            <w:tcBorders>
              <w:top w:val="single" w:sz="4" w:space="0" w:color="auto"/>
              <w:left w:val="nil"/>
              <w:bottom w:val="double" w:sz="6" w:space="0" w:color="auto"/>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C87421">
            <w:pPr>
              <w:spacing w:after="0" w:line="240" w:lineRule="auto"/>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 xml:space="preserve">Net </w:t>
            </w:r>
            <w:r>
              <w:rPr>
                <w:rFonts w:asciiTheme="minorHAnsi" w:hAnsiTheme="minorHAnsi" w:cstheme="minorHAnsi"/>
                <w:b/>
                <w:bCs/>
                <w:color w:val="000000"/>
                <w:sz w:val="16"/>
                <w:szCs w:val="16"/>
              </w:rPr>
              <w:t xml:space="preserve">Loss </w:t>
            </w:r>
            <w:r w:rsidRPr="006D0DA3">
              <w:rPr>
                <w:rFonts w:asciiTheme="minorHAnsi" w:hAnsiTheme="minorHAnsi" w:cstheme="minorHAnsi"/>
                <w:b/>
                <w:bCs/>
                <w:color w:val="000000"/>
                <w:sz w:val="16"/>
                <w:szCs w:val="16"/>
              </w:rPr>
              <w:t xml:space="preserve"> attributable to :</w:t>
            </w: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225"/>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Owners of the Company</w:t>
            </w:r>
          </w:p>
        </w:tc>
        <w:tc>
          <w:tcPr>
            <w:tcW w:w="1620" w:type="dxa"/>
            <w:tcBorders>
              <w:top w:val="nil"/>
              <w:left w:val="nil"/>
              <w:bottom w:val="nil"/>
              <w:right w:val="nil"/>
            </w:tcBorders>
            <w:noWrap/>
            <w:vAlign w:val="bottom"/>
          </w:tcPr>
          <w:p w:rsidR="009A6796" w:rsidRPr="006D0DA3" w:rsidRDefault="009A6796" w:rsidP="00AF611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(409)</w:t>
            </w:r>
            <w:r w:rsidRPr="006D0DA3">
              <w:rPr>
                <w:rFonts w:asciiTheme="minorHAnsi" w:hAnsiTheme="minorHAnsi" w:cstheme="minorHAnsi"/>
                <w:color w:val="000000"/>
                <w:sz w:val="16"/>
                <w:szCs w:val="16"/>
              </w:rPr>
              <w:t xml:space="preserve">   </w:t>
            </w: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F6080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(11,137)</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Non-controlling interests</w:t>
            </w:r>
          </w:p>
        </w:tc>
        <w:tc>
          <w:tcPr>
            <w:tcW w:w="1620" w:type="dxa"/>
            <w:tcBorders>
              <w:top w:val="nil"/>
              <w:left w:val="nil"/>
              <w:bottom w:val="nil"/>
              <w:right w:val="nil"/>
            </w:tcBorders>
            <w:noWrap/>
            <w:vAlign w:val="bottom"/>
          </w:tcPr>
          <w:p w:rsidR="009A6796" w:rsidRPr="006D0DA3" w:rsidRDefault="009A6796" w:rsidP="00D356EC">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BE34A3">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(119)</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Net Profit/(Loss)</w:t>
            </w:r>
          </w:p>
        </w:tc>
        <w:tc>
          <w:tcPr>
            <w:tcW w:w="1620" w:type="dxa"/>
            <w:tcBorders>
              <w:top w:val="single" w:sz="4" w:space="0" w:color="auto"/>
              <w:left w:val="nil"/>
              <w:bottom w:val="double" w:sz="6" w:space="0" w:color="auto"/>
              <w:right w:val="nil"/>
            </w:tcBorders>
            <w:noWrap/>
            <w:vAlign w:val="bottom"/>
          </w:tcPr>
          <w:p w:rsidR="009A6796" w:rsidRPr="006D0DA3" w:rsidRDefault="009A6796" w:rsidP="00AF611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(409)</w:t>
            </w:r>
            <w:r w:rsidRPr="006D0DA3">
              <w:rPr>
                <w:rFonts w:asciiTheme="minorHAnsi" w:hAnsiTheme="minorHAnsi" w:cstheme="minorHAnsi"/>
                <w:color w:val="000000"/>
                <w:sz w:val="16"/>
                <w:szCs w:val="16"/>
              </w:rPr>
              <w:t xml:space="preserve">   </w:t>
            </w:r>
          </w:p>
        </w:tc>
        <w:tc>
          <w:tcPr>
            <w:tcW w:w="1620" w:type="dxa"/>
            <w:tcBorders>
              <w:top w:val="single" w:sz="4" w:space="0" w:color="auto"/>
              <w:left w:val="nil"/>
              <w:bottom w:val="double" w:sz="6" w:space="0" w:color="auto"/>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single" w:sz="4" w:space="0" w:color="auto"/>
              <w:left w:val="nil"/>
              <w:bottom w:val="double" w:sz="6" w:space="0" w:color="auto"/>
              <w:right w:val="nil"/>
            </w:tcBorders>
            <w:noWrap/>
            <w:vAlign w:val="bottom"/>
          </w:tcPr>
          <w:p w:rsidR="009A6796" w:rsidRPr="006D0DA3" w:rsidRDefault="009A6796" w:rsidP="00F6080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(11,256)</w:t>
            </w:r>
          </w:p>
        </w:tc>
        <w:tc>
          <w:tcPr>
            <w:tcW w:w="1620" w:type="dxa"/>
            <w:tcBorders>
              <w:top w:val="single" w:sz="4" w:space="0" w:color="auto"/>
              <w:left w:val="nil"/>
              <w:bottom w:val="double" w:sz="6" w:space="0" w:color="auto"/>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Total comprehensive income/(loss) attributable to :</w:t>
            </w: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Owners of the Company</w:t>
            </w:r>
          </w:p>
        </w:tc>
        <w:tc>
          <w:tcPr>
            <w:tcW w:w="1620" w:type="dxa"/>
            <w:tcBorders>
              <w:top w:val="nil"/>
              <w:left w:val="nil"/>
              <w:bottom w:val="nil"/>
              <w:right w:val="nil"/>
            </w:tcBorders>
            <w:noWrap/>
            <w:vAlign w:val="bottom"/>
          </w:tcPr>
          <w:p w:rsidR="009A6796" w:rsidRPr="006D0DA3" w:rsidRDefault="009A6796" w:rsidP="00AF611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(409)</w:t>
            </w:r>
            <w:r w:rsidRPr="006D0DA3">
              <w:rPr>
                <w:rFonts w:asciiTheme="minorHAnsi" w:hAnsiTheme="minorHAnsi" w:cstheme="minorHAnsi"/>
                <w:color w:val="000000"/>
                <w:sz w:val="16"/>
                <w:szCs w:val="16"/>
              </w:rPr>
              <w:t xml:space="preserve">   </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F6080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(11,669)</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sidRPr="00404804">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Non-controlling interests</w:t>
            </w:r>
          </w:p>
        </w:tc>
        <w:tc>
          <w:tcPr>
            <w:tcW w:w="1620" w:type="dxa"/>
            <w:tcBorders>
              <w:top w:val="nil"/>
              <w:left w:val="nil"/>
              <w:bottom w:val="nil"/>
              <w:right w:val="nil"/>
            </w:tcBorders>
            <w:noWrap/>
            <w:vAlign w:val="bottom"/>
          </w:tcPr>
          <w:p w:rsidR="009A6796" w:rsidRPr="006D0DA3" w:rsidRDefault="009A6796" w:rsidP="007C1FBA">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9A6796" w:rsidRPr="006D0DA3" w:rsidRDefault="009A6796" w:rsidP="00BE34A3">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(142)</w:t>
            </w: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7C1FBA">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6D0DA3" w:rsidRDefault="009A679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p>
        </w:tc>
      </w:tr>
      <w:tr w:rsidR="009A6796" w:rsidRPr="006D0DA3" w:rsidTr="002260C6">
        <w:trPr>
          <w:trHeight w:val="58"/>
        </w:trPr>
        <w:tc>
          <w:tcPr>
            <w:tcW w:w="3348" w:type="dxa"/>
            <w:tcBorders>
              <w:top w:val="nil"/>
              <w:left w:val="nil"/>
              <w:bottom w:val="nil"/>
              <w:right w:val="nil"/>
            </w:tcBorders>
            <w:noWrap/>
            <w:vAlign w:val="bottom"/>
          </w:tcPr>
          <w:p w:rsidR="009A6796" w:rsidRPr="006D0DA3" w:rsidRDefault="009A6796" w:rsidP="00223B18">
            <w:pPr>
              <w:spacing w:after="0" w:line="240" w:lineRule="auto"/>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 xml:space="preserve">Total comprehensive </w:t>
            </w:r>
            <w:r>
              <w:rPr>
                <w:rFonts w:asciiTheme="minorHAnsi" w:hAnsiTheme="minorHAnsi" w:cstheme="minorHAnsi"/>
                <w:b/>
                <w:bCs/>
                <w:color w:val="000000"/>
                <w:sz w:val="16"/>
                <w:szCs w:val="16"/>
              </w:rPr>
              <w:t>income/(</w:t>
            </w:r>
            <w:r w:rsidRPr="006D0DA3">
              <w:rPr>
                <w:rFonts w:asciiTheme="minorHAnsi" w:hAnsiTheme="minorHAnsi" w:cstheme="minorHAnsi"/>
                <w:b/>
                <w:bCs/>
                <w:color w:val="000000"/>
                <w:sz w:val="16"/>
                <w:szCs w:val="16"/>
              </w:rPr>
              <w:t>loss</w:t>
            </w:r>
            <w:r>
              <w:rPr>
                <w:rFonts w:asciiTheme="minorHAnsi" w:hAnsiTheme="minorHAnsi" w:cstheme="minorHAnsi"/>
                <w:b/>
                <w:bCs/>
                <w:color w:val="000000"/>
                <w:sz w:val="16"/>
                <w:szCs w:val="16"/>
              </w:rPr>
              <w:t>)</w:t>
            </w:r>
          </w:p>
        </w:tc>
        <w:tc>
          <w:tcPr>
            <w:tcW w:w="1620" w:type="dxa"/>
            <w:tcBorders>
              <w:top w:val="single" w:sz="4" w:space="0" w:color="auto"/>
              <w:left w:val="nil"/>
              <w:bottom w:val="double" w:sz="6" w:space="0" w:color="auto"/>
              <w:right w:val="nil"/>
            </w:tcBorders>
            <w:noWrap/>
            <w:vAlign w:val="bottom"/>
          </w:tcPr>
          <w:p w:rsidR="009A6796" w:rsidRPr="006D0DA3" w:rsidRDefault="009A6796" w:rsidP="00BA3BE8">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(409)</w:t>
            </w:r>
            <w:r w:rsidRPr="006D0DA3">
              <w:rPr>
                <w:rFonts w:asciiTheme="minorHAnsi" w:hAnsiTheme="minorHAnsi" w:cstheme="minorHAnsi"/>
                <w:color w:val="000000"/>
                <w:sz w:val="16"/>
                <w:szCs w:val="16"/>
              </w:rPr>
              <w:t xml:space="preserve">   </w:t>
            </w:r>
          </w:p>
        </w:tc>
        <w:tc>
          <w:tcPr>
            <w:tcW w:w="1620" w:type="dxa"/>
            <w:tcBorders>
              <w:top w:val="single" w:sz="4" w:space="0" w:color="auto"/>
              <w:left w:val="nil"/>
              <w:bottom w:val="double" w:sz="6" w:space="0" w:color="auto"/>
              <w:right w:val="nil"/>
            </w:tcBorders>
            <w:noWrap/>
            <w:vAlign w:val="bottom"/>
          </w:tcPr>
          <w:p w:rsidR="009A6796" w:rsidRPr="00404804" w:rsidRDefault="009A6796" w:rsidP="002505E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single" w:sz="4" w:space="0" w:color="auto"/>
              <w:left w:val="nil"/>
              <w:bottom w:val="double" w:sz="6" w:space="0" w:color="auto"/>
              <w:right w:val="nil"/>
            </w:tcBorders>
            <w:noWrap/>
            <w:vAlign w:val="bottom"/>
          </w:tcPr>
          <w:p w:rsidR="009A6796" w:rsidRPr="006D0DA3" w:rsidRDefault="009A6796" w:rsidP="00F6080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(11,811)</w:t>
            </w:r>
          </w:p>
        </w:tc>
        <w:tc>
          <w:tcPr>
            <w:tcW w:w="1620" w:type="dxa"/>
            <w:tcBorders>
              <w:top w:val="single" w:sz="4" w:space="0" w:color="auto"/>
              <w:left w:val="nil"/>
              <w:bottom w:val="double" w:sz="6" w:space="0" w:color="auto"/>
              <w:right w:val="nil"/>
            </w:tcBorders>
            <w:noWrap/>
            <w:vAlign w:val="bottom"/>
          </w:tcPr>
          <w:p w:rsidR="009A6796" w:rsidRPr="00404804" w:rsidRDefault="009A6796" w:rsidP="009A67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2260C6" w:rsidRPr="006D0DA3" w:rsidTr="002260C6">
        <w:trPr>
          <w:trHeight w:val="58"/>
        </w:trPr>
        <w:tc>
          <w:tcPr>
            <w:tcW w:w="3348" w:type="dxa"/>
            <w:tcBorders>
              <w:top w:val="nil"/>
              <w:left w:val="nil"/>
              <w:bottom w:val="nil"/>
              <w:right w:val="nil"/>
            </w:tcBorders>
            <w:noWrap/>
            <w:vAlign w:val="bottom"/>
          </w:tcPr>
          <w:p w:rsidR="002260C6" w:rsidRPr="006D0DA3" w:rsidRDefault="002260C6" w:rsidP="00223B18">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2260C6" w:rsidRPr="006D0DA3" w:rsidRDefault="002260C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2260C6" w:rsidRPr="006D0DA3" w:rsidRDefault="002260C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2260C6" w:rsidRPr="006D0DA3" w:rsidRDefault="002260C6" w:rsidP="00223B18">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2260C6" w:rsidRPr="006D0DA3" w:rsidRDefault="002260C6" w:rsidP="00223B18">
            <w:pPr>
              <w:spacing w:after="0" w:line="240" w:lineRule="auto"/>
              <w:jc w:val="right"/>
              <w:rPr>
                <w:rFonts w:asciiTheme="minorHAnsi" w:hAnsiTheme="minorHAnsi" w:cstheme="minorHAnsi"/>
                <w:color w:val="000000"/>
                <w:sz w:val="16"/>
                <w:szCs w:val="16"/>
              </w:rPr>
            </w:pPr>
          </w:p>
        </w:tc>
      </w:tr>
    </w:tbl>
    <w:p w:rsidR="0019091B" w:rsidRDefault="0019091B" w:rsidP="00FB7221">
      <w:pPr>
        <w:autoSpaceDE w:val="0"/>
        <w:autoSpaceDN w:val="0"/>
        <w:adjustRightInd w:val="0"/>
        <w:spacing w:after="0" w:line="240" w:lineRule="auto"/>
        <w:rPr>
          <w:rFonts w:asciiTheme="minorHAnsi" w:hAnsiTheme="minorHAnsi" w:cstheme="minorHAnsi"/>
          <w:b/>
          <w:bCs/>
          <w:sz w:val="16"/>
          <w:szCs w:val="16"/>
        </w:rPr>
      </w:pPr>
    </w:p>
    <w:p w:rsidR="0019091B" w:rsidRDefault="0019091B" w:rsidP="00FB7221">
      <w:pPr>
        <w:autoSpaceDE w:val="0"/>
        <w:autoSpaceDN w:val="0"/>
        <w:adjustRightInd w:val="0"/>
        <w:spacing w:after="0" w:line="240" w:lineRule="auto"/>
        <w:rPr>
          <w:rFonts w:asciiTheme="minorHAnsi" w:hAnsiTheme="minorHAnsi" w:cstheme="minorHAnsi"/>
          <w:b/>
          <w:bCs/>
          <w:sz w:val="16"/>
          <w:szCs w:val="16"/>
        </w:rPr>
      </w:pPr>
    </w:p>
    <w:p w:rsidR="0019091B" w:rsidRDefault="0019091B" w:rsidP="00FB7221">
      <w:pPr>
        <w:autoSpaceDE w:val="0"/>
        <w:autoSpaceDN w:val="0"/>
        <w:adjustRightInd w:val="0"/>
        <w:spacing w:after="0" w:line="240" w:lineRule="auto"/>
        <w:rPr>
          <w:rFonts w:asciiTheme="minorHAnsi" w:hAnsiTheme="minorHAnsi" w:cstheme="minorHAnsi"/>
          <w:b/>
          <w:bCs/>
          <w:sz w:val="16"/>
          <w:szCs w:val="16"/>
        </w:rPr>
      </w:pPr>
    </w:p>
    <w:p w:rsidR="00FF6650" w:rsidRDefault="00FF6650" w:rsidP="00FB7221">
      <w:pPr>
        <w:autoSpaceDE w:val="0"/>
        <w:autoSpaceDN w:val="0"/>
        <w:adjustRightInd w:val="0"/>
        <w:spacing w:after="0" w:line="240" w:lineRule="auto"/>
        <w:rPr>
          <w:rFonts w:asciiTheme="minorHAnsi" w:hAnsiTheme="minorHAnsi" w:cstheme="minorHAnsi"/>
          <w:b/>
          <w:bCs/>
          <w:sz w:val="16"/>
          <w:szCs w:val="16"/>
        </w:rPr>
      </w:pPr>
    </w:p>
    <w:p w:rsidR="00FF6650" w:rsidRDefault="00FF6650" w:rsidP="00FB7221">
      <w:pPr>
        <w:autoSpaceDE w:val="0"/>
        <w:autoSpaceDN w:val="0"/>
        <w:adjustRightInd w:val="0"/>
        <w:spacing w:after="0" w:line="240" w:lineRule="auto"/>
        <w:rPr>
          <w:rFonts w:asciiTheme="minorHAnsi" w:hAnsiTheme="minorHAnsi" w:cstheme="minorHAnsi"/>
          <w:b/>
          <w:bCs/>
          <w:sz w:val="16"/>
          <w:szCs w:val="16"/>
        </w:rPr>
      </w:pPr>
    </w:p>
    <w:p w:rsidR="00FF6650" w:rsidRDefault="00FF6650" w:rsidP="00FB7221">
      <w:pPr>
        <w:autoSpaceDE w:val="0"/>
        <w:autoSpaceDN w:val="0"/>
        <w:adjustRightInd w:val="0"/>
        <w:spacing w:after="0" w:line="240" w:lineRule="auto"/>
        <w:rPr>
          <w:rFonts w:asciiTheme="minorHAnsi" w:hAnsiTheme="minorHAnsi" w:cstheme="minorHAnsi"/>
          <w:b/>
          <w:bCs/>
          <w:sz w:val="16"/>
          <w:szCs w:val="16"/>
        </w:rPr>
      </w:pPr>
    </w:p>
    <w:p w:rsidR="00223B18" w:rsidRPr="006D0DA3" w:rsidRDefault="00223B18" w:rsidP="00FB7221">
      <w:pPr>
        <w:autoSpaceDE w:val="0"/>
        <w:autoSpaceDN w:val="0"/>
        <w:adjustRightInd w:val="0"/>
        <w:spacing w:after="0" w:line="240" w:lineRule="auto"/>
        <w:rPr>
          <w:rFonts w:asciiTheme="minorHAnsi" w:hAnsiTheme="minorHAnsi" w:cstheme="minorHAnsi"/>
          <w:b/>
          <w:bCs/>
          <w:sz w:val="16"/>
          <w:szCs w:val="16"/>
        </w:rPr>
      </w:pPr>
      <w:r w:rsidRPr="006D0DA3">
        <w:rPr>
          <w:rFonts w:asciiTheme="minorHAnsi" w:hAnsiTheme="minorHAnsi" w:cstheme="minorHAnsi"/>
          <w:b/>
          <w:bCs/>
          <w:sz w:val="16"/>
          <w:szCs w:val="16"/>
        </w:rPr>
        <w:t>UNAUDITED CONDENSED CONSOLIDATED STATEMENT OF COMPREHENSIVE INCOME</w:t>
      </w:r>
    </w:p>
    <w:p w:rsidR="00223B18" w:rsidRPr="006D0DA3" w:rsidRDefault="00223B18" w:rsidP="00FB7221">
      <w:pPr>
        <w:autoSpaceDE w:val="0"/>
        <w:autoSpaceDN w:val="0"/>
        <w:adjustRightInd w:val="0"/>
        <w:spacing w:after="0" w:line="240" w:lineRule="auto"/>
        <w:rPr>
          <w:rFonts w:asciiTheme="minorHAnsi" w:hAnsiTheme="minorHAnsi" w:cstheme="minorHAnsi"/>
          <w:b/>
          <w:bCs/>
          <w:sz w:val="16"/>
          <w:szCs w:val="16"/>
        </w:rPr>
      </w:pPr>
      <w:r w:rsidRPr="006D0DA3">
        <w:rPr>
          <w:rFonts w:asciiTheme="minorHAnsi" w:hAnsiTheme="minorHAnsi" w:cstheme="minorHAnsi"/>
          <w:b/>
          <w:bCs/>
          <w:sz w:val="16"/>
          <w:szCs w:val="16"/>
        </w:rPr>
        <w:t xml:space="preserve">FOR THE </w:t>
      </w:r>
      <w:r w:rsidR="00F920EE">
        <w:rPr>
          <w:rFonts w:asciiTheme="minorHAnsi" w:hAnsiTheme="minorHAnsi" w:cstheme="minorHAnsi"/>
          <w:b/>
          <w:bCs/>
          <w:sz w:val="16"/>
          <w:szCs w:val="16"/>
        </w:rPr>
        <w:t>MONTH</w:t>
      </w:r>
      <w:r w:rsidRPr="006D0DA3">
        <w:rPr>
          <w:rFonts w:asciiTheme="minorHAnsi" w:hAnsiTheme="minorHAnsi" w:cstheme="minorHAnsi"/>
          <w:b/>
          <w:bCs/>
          <w:sz w:val="16"/>
          <w:szCs w:val="16"/>
        </w:rPr>
        <w:t xml:space="preserve"> ENDED </w:t>
      </w:r>
      <w:r w:rsidR="00F64687" w:rsidRPr="006D0DA3">
        <w:rPr>
          <w:rFonts w:asciiTheme="minorHAnsi" w:hAnsiTheme="minorHAnsi" w:cstheme="minorHAnsi"/>
          <w:b/>
          <w:bCs/>
          <w:sz w:val="16"/>
          <w:szCs w:val="16"/>
        </w:rPr>
        <w:t>3</w:t>
      </w:r>
      <w:r w:rsidR="00F64687">
        <w:rPr>
          <w:rFonts w:asciiTheme="minorHAnsi" w:hAnsiTheme="minorHAnsi" w:cstheme="minorHAnsi"/>
          <w:b/>
          <w:bCs/>
          <w:sz w:val="16"/>
          <w:szCs w:val="16"/>
        </w:rPr>
        <w:t xml:space="preserve">1 JULY  </w:t>
      </w:r>
      <w:r w:rsidR="00C33B1C" w:rsidRPr="00C33B1C">
        <w:rPr>
          <w:rFonts w:asciiTheme="minorHAnsi" w:hAnsiTheme="minorHAnsi"/>
          <w:b/>
          <w:bCs/>
          <w:sz w:val="16"/>
          <w:szCs w:val="16"/>
        </w:rPr>
        <w:t>2016</w:t>
      </w:r>
      <w:r w:rsidR="00C33B1C" w:rsidRPr="00C33B1C">
        <w:rPr>
          <w:rFonts w:asciiTheme="minorHAnsi" w:hAnsiTheme="minorHAnsi" w:cstheme="minorHAnsi"/>
          <w:b/>
          <w:bCs/>
          <w:sz w:val="16"/>
          <w:szCs w:val="16"/>
        </w:rPr>
        <w:t xml:space="preserve"> </w:t>
      </w:r>
      <w:r w:rsidR="00E67465" w:rsidRPr="006D0DA3">
        <w:rPr>
          <w:rFonts w:asciiTheme="minorHAnsi" w:hAnsiTheme="minorHAnsi" w:cstheme="minorHAnsi"/>
          <w:b/>
          <w:bCs/>
          <w:sz w:val="16"/>
          <w:szCs w:val="16"/>
        </w:rPr>
        <w:t>(CON</w:t>
      </w:r>
      <w:r w:rsidR="008E0A5F">
        <w:rPr>
          <w:rFonts w:asciiTheme="minorHAnsi" w:hAnsiTheme="minorHAnsi" w:cstheme="minorHAnsi"/>
          <w:b/>
          <w:bCs/>
          <w:sz w:val="16"/>
          <w:szCs w:val="16"/>
        </w:rPr>
        <w:t>’</w:t>
      </w:r>
      <w:r w:rsidR="00E67465" w:rsidRPr="006D0DA3">
        <w:rPr>
          <w:rFonts w:asciiTheme="minorHAnsi" w:hAnsiTheme="minorHAnsi" w:cstheme="minorHAnsi"/>
          <w:b/>
          <w:bCs/>
          <w:sz w:val="16"/>
          <w:szCs w:val="16"/>
        </w:rPr>
        <w:t>T</w:t>
      </w:r>
      <w:r w:rsidRPr="006D0DA3">
        <w:rPr>
          <w:rFonts w:asciiTheme="minorHAnsi" w:hAnsiTheme="minorHAnsi" w:cstheme="minorHAnsi"/>
          <w:b/>
          <w:bCs/>
          <w:sz w:val="16"/>
          <w:szCs w:val="16"/>
        </w:rPr>
        <w:t>)</w:t>
      </w:r>
    </w:p>
    <w:p w:rsidR="00B23D77" w:rsidRPr="006D0DA3" w:rsidRDefault="00B23D77" w:rsidP="00223B18">
      <w:pPr>
        <w:autoSpaceDE w:val="0"/>
        <w:autoSpaceDN w:val="0"/>
        <w:adjustRightInd w:val="0"/>
        <w:spacing w:after="0" w:line="240" w:lineRule="auto"/>
        <w:rPr>
          <w:rFonts w:asciiTheme="minorHAnsi" w:hAnsiTheme="minorHAnsi" w:cstheme="minorHAnsi"/>
          <w:sz w:val="16"/>
          <w:szCs w:val="16"/>
        </w:rPr>
      </w:pPr>
    </w:p>
    <w:tbl>
      <w:tblPr>
        <w:tblW w:w="10249" w:type="dxa"/>
        <w:tblLayout w:type="fixed"/>
        <w:tblLook w:val="00A0" w:firstRow="1" w:lastRow="0" w:firstColumn="1" w:lastColumn="0" w:noHBand="0" w:noVBand="0"/>
      </w:tblPr>
      <w:tblGrid>
        <w:gridCol w:w="3787"/>
        <w:gridCol w:w="1615"/>
        <w:gridCol w:w="1616"/>
        <w:gridCol w:w="1615"/>
        <w:gridCol w:w="1616"/>
      </w:tblGrid>
      <w:tr w:rsidR="00B23D77" w:rsidRPr="006D0DA3" w:rsidTr="00A6231B">
        <w:trPr>
          <w:trHeight w:val="59"/>
        </w:trPr>
        <w:tc>
          <w:tcPr>
            <w:tcW w:w="3787" w:type="dxa"/>
            <w:noWrap/>
          </w:tcPr>
          <w:p w:rsidR="00B23D77" w:rsidRPr="006D0DA3" w:rsidRDefault="00B23D77" w:rsidP="005C5496">
            <w:pPr>
              <w:spacing w:after="0" w:line="240" w:lineRule="auto"/>
              <w:rPr>
                <w:rFonts w:asciiTheme="minorHAnsi" w:hAnsiTheme="minorHAnsi" w:cstheme="minorHAnsi"/>
                <w:color w:val="000000"/>
                <w:sz w:val="16"/>
                <w:szCs w:val="16"/>
              </w:rPr>
            </w:pPr>
          </w:p>
        </w:tc>
        <w:tc>
          <w:tcPr>
            <w:tcW w:w="3231" w:type="dxa"/>
            <w:gridSpan w:val="2"/>
            <w:noWrap/>
          </w:tcPr>
          <w:p w:rsidR="00B23D77" w:rsidRPr="006D0DA3" w:rsidRDefault="00B23D77" w:rsidP="005C5496">
            <w:pPr>
              <w:spacing w:after="0" w:line="240" w:lineRule="auto"/>
              <w:jc w:val="center"/>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 Individual Quarter ----</w:t>
            </w:r>
          </w:p>
        </w:tc>
        <w:tc>
          <w:tcPr>
            <w:tcW w:w="3231" w:type="dxa"/>
            <w:gridSpan w:val="2"/>
            <w:noWrap/>
          </w:tcPr>
          <w:p w:rsidR="00B23D77" w:rsidRPr="006D0DA3" w:rsidRDefault="00B23D77" w:rsidP="005C5496">
            <w:pPr>
              <w:spacing w:after="0" w:line="240" w:lineRule="auto"/>
              <w:jc w:val="center"/>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 Cumulative Quarter -----</w:t>
            </w:r>
          </w:p>
        </w:tc>
      </w:tr>
      <w:tr w:rsidR="00B23D77" w:rsidRPr="006D0DA3" w:rsidTr="00A6231B">
        <w:trPr>
          <w:trHeight w:val="59"/>
        </w:trPr>
        <w:tc>
          <w:tcPr>
            <w:tcW w:w="3787" w:type="dxa"/>
            <w:noWrap/>
          </w:tcPr>
          <w:p w:rsidR="00B23D77" w:rsidRPr="006D0DA3" w:rsidRDefault="00B23D77" w:rsidP="005C5496">
            <w:pPr>
              <w:spacing w:after="0" w:line="240" w:lineRule="auto"/>
              <w:jc w:val="right"/>
              <w:rPr>
                <w:rFonts w:asciiTheme="minorHAnsi" w:hAnsiTheme="minorHAnsi" w:cstheme="minorHAnsi"/>
                <w:color w:val="000000"/>
                <w:sz w:val="16"/>
                <w:szCs w:val="16"/>
              </w:rPr>
            </w:pP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p>
          <w:p w:rsidR="00B23D77" w:rsidRPr="006D0DA3" w:rsidRDefault="00B23D77" w:rsidP="005C5496">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Preceding</w:t>
            </w:r>
          </w:p>
        </w:tc>
        <w:tc>
          <w:tcPr>
            <w:tcW w:w="1615" w:type="dxa"/>
            <w:noWrap/>
          </w:tcPr>
          <w:p w:rsidR="00F10742" w:rsidRDefault="00F10742" w:rsidP="005C5496">
            <w:pPr>
              <w:spacing w:after="0" w:line="240" w:lineRule="auto"/>
              <w:jc w:val="right"/>
              <w:rPr>
                <w:rFonts w:asciiTheme="minorHAnsi" w:hAnsiTheme="minorHAnsi" w:cstheme="minorHAnsi"/>
                <w:b/>
                <w:bCs/>
                <w:color w:val="000000"/>
                <w:sz w:val="16"/>
                <w:szCs w:val="16"/>
              </w:rPr>
            </w:pPr>
          </w:p>
          <w:p w:rsidR="00B23D77" w:rsidRPr="006D0DA3" w:rsidRDefault="00B23D77" w:rsidP="005C5496">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(Unaudited)</w:t>
            </w: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p>
          <w:p w:rsidR="00B23D77" w:rsidRPr="006D0DA3" w:rsidRDefault="00B23D77" w:rsidP="005C5496">
            <w:pPr>
              <w:spacing w:after="0" w:line="240" w:lineRule="auto"/>
              <w:jc w:val="right"/>
              <w:rPr>
                <w:rFonts w:asciiTheme="minorHAnsi" w:hAnsiTheme="minorHAnsi" w:cstheme="minorHAnsi"/>
                <w:b/>
                <w:bCs/>
                <w:color w:val="000000"/>
                <w:sz w:val="16"/>
                <w:szCs w:val="16"/>
              </w:rPr>
            </w:pPr>
          </w:p>
        </w:tc>
      </w:tr>
      <w:tr w:rsidR="00B23D77" w:rsidRPr="006D0DA3" w:rsidTr="00A6231B">
        <w:trPr>
          <w:trHeight w:val="59"/>
        </w:trPr>
        <w:tc>
          <w:tcPr>
            <w:tcW w:w="3787" w:type="dxa"/>
            <w:noWrap/>
          </w:tcPr>
          <w:p w:rsidR="00B23D77" w:rsidRPr="006D0DA3" w:rsidRDefault="00B23D77" w:rsidP="005C5496">
            <w:pPr>
              <w:spacing w:after="0" w:line="240" w:lineRule="auto"/>
              <w:jc w:val="right"/>
              <w:rPr>
                <w:rFonts w:asciiTheme="minorHAnsi" w:hAnsiTheme="minorHAnsi" w:cstheme="minorHAnsi"/>
                <w:color w:val="000000"/>
                <w:sz w:val="16"/>
                <w:szCs w:val="16"/>
              </w:rPr>
            </w:pP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Current</w:t>
            </w: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Period</w:t>
            </w: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p>
        </w:tc>
        <w:tc>
          <w:tcPr>
            <w:tcW w:w="1615" w:type="dxa"/>
            <w:noWrap/>
          </w:tcPr>
          <w:p w:rsidR="00B23D77" w:rsidRPr="006D0DA3" w:rsidRDefault="00DD519C" w:rsidP="00A6231B">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Preceding</w:t>
            </w:r>
          </w:p>
        </w:tc>
      </w:tr>
      <w:tr w:rsidR="00B23D77" w:rsidRPr="006D0DA3" w:rsidTr="00A6231B">
        <w:trPr>
          <w:trHeight w:val="59"/>
        </w:trPr>
        <w:tc>
          <w:tcPr>
            <w:tcW w:w="3787" w:type="dxa"/>
            <w:noWrap/>
          </w:tcPr>
          <w:p w:rsidR="00B23D77" w:rsidRPr="006D0DA3" w:rsidRDefault="00B23D77" w:rsidP="005C5496">
            <w:pPr>
              <w:spacing w:after="0" w:line="240" w:lineRule="auto"/>
              <w:jc w:val="right"/>
              <w:rPr>
                <w:rFonts w:asciiTheme="minorHAnsi" w:hAnsiTheme="minorHAnsi" w:cstheme="minorHAnsi"/>
                <w:color w:val="000000"/>
                <w:sz w:val="16"/>
                <w:szCs w:val="16"/>
              </w:rPr>
            </w:pPr>
          </w:p>
        </w:tc>
        <w:tc>
          <w:tcPr>
            <w:tcW w:w="1615" w:type="dxa"/>
            <w:noWrap/>
          </w:tcPr>
          <w:p w:rsidR="00B23D77" w:rsidRPr="006D0DA3" w:rsidRDefault="00027599" w:rsidP="00027599">
            <w:pPr>
              <w:spacing w:after="0" w:line="240" w:lineRule="auto"/>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Month</w:t>
            </w: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Corresponding</w:t>
            </w:r>
          </w:p>
        </w:tc>
        <w:tc>
          <w:tcPr>
            <w:tcW w:w="1615" w:type="dxa"/>
            <w:noWrap/>
          </w:tcPr>
          <w:p w:rsidR="00B23D77" w:rsidRPr="006D0DA3" w:rsidRDefault="00A6231B" w:rsidP="00027599">
            <w:pPr>
              <w:spacing w:after="0" w:line="240" w:lineRule="auto"/>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w:t>
            </w:r>
            <w:r w:rsidR="00027599">
              <w:rPr>
                <w:rFonts w:asciiTheme="minorHAnsi" w:hAnsiTheme="minorHAnsi" w:cstheme="minorHAnsi"/>
                <w:b/>
                <w:bCs/>
                <w:color w:val="000000"/>
                <w:sz w:val="16"/>
                <w:szCs w:val="16"/>
              </w:rPr>
              <w:t>6</w:t>
            </w:r>
            <w:r w:rsidR="00B23D77" w:rsidRPr="006D0DA3">
              <w:rPr>
                <w:rFonts w:asciiTheme="minorHAnsi" w:hAnsiTheme="minorHAnsi" w:cstheme="minorHAnsi"/>
                <w:b/>
                <w:bCs/>
                <w:color w:val="000000"/>
                <w:sz w:val="16"/>
                <w:szCs w:val="16"/>
              </w:rPr>
              <w:t xml:space="preserve"> months</w:t>
            </w: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corresponding</w:t>
            </w:r>
          </w:p>
        </w:tc>
      </w:tr>
      <w:tr w:rsidR="00B23D77" w:rsidRPr="006D0DA3" w:rsidTr="00A6231B">
        <w:trPr>
          <w:trHeight w:val="59"/>
        </w:trPr>
        <w:tc>
          <w:tcPr>
            <w:tcW w:w="3787" w:type="dxa"/>
            <w:noWrap/>
          </w:tcPr>
          <w:p w:rsidR="00B23D77" w:rsidRPr="006D0DA3" w:rsidRDefault="00B23D77" w:rsidP="005C5496">
            <w:pPr>
              <w:spacing w:after="0" w:line="240" w:lineRule="auto"/>
              <w:jc w:val="right"/>
              <w:rPr>
                <w:rFonts w:asciiTheme="minorHAnsi" w:hAnsiTheme="minorHAnsi" w:cstheme="minorHAnsi"/>
                <w:color w:val="000000"/>
                <w:sz w:val="16"/>
                <w:szCs w:val="16"/>
              </w:rPr>
            </w:pP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Ended</w:t>
            </w: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Quarter Ended</w:t>
            </w:r>
          </w:p>
        </w:tc>
        <w:tc>
          <w:tcPr>
            <w:tcW w:w="1615" w:type="dxa"/>
            <w:noWrap/>
          </w:tcPr>
          <w:p w:rsidR="00B23D77" w:rsidRPr="006D0DA3" w:rsidRDefault="00B23D77" w:rsidP="005C5496">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to date ended</w:t>
            </w:r>
          </w:p>
        </w:tc>
        <w:tc>
          <w:tcPr>
            <w:tcW w:w="1615" w:type="dxa"/>
            <w:noWrap/>
          </w:tcPr>
          <w:p w:rsidR="00B23D77" w:rsidRPr="006D0DA3" w:rsidRDefault="005829A6" w:rsidP="005C5496">
            <w:pPr>
              <w:spacing w:after="0" w:line="240" w:lineRule="auto"/>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w:t>
            </w:r>
            <w:bookmarkStart w:id="0" w:name="_GoBack"/>
            <w:bookmarkEnd w:id="0"/>
            <w:r w:rsidR="00CF7FE2">
              <w:rPr>
                <w:rFonts w:asciiTheme="minorHAnsi" w:hAnsiTheme="minorHAnsi" w:cstheme="minorHAnsi"/>
                <w:b/>
                <w:bCs/>
                <w:color w:val="000000"/>
                <w:sz w:val="16"/>
                <w:szCs w:val="16"/>
              </w:rPr>
              <w:t xml:space="preserve"> months </w:t>
            </w:r>
            <w:r w:rsidR="00B23D77" w:rsidRPr="006D0DA3">
              <w:rPr>
                <w:rFonts w:asciiTheme="minorHAnsi" w:hAnsiTheme="minorHAnsi" w:cstheme="minorHAnsi"/>
                <w:b/>
                <w:bCs/>
                <w:color w:val="000000"/>
                <w:sz w:val="16"/>
                <w:szCs w:val="16"/>
              </w:rPr>
              <w:t>Period Ended</w:t>
            </w:r>
          </w:p>
        </w:tc>
      </w:tr>
      <w:tr w:rsidR="00A6231B" w:rsidRPr="006D0DA3" w:rsidTr="00A6231B">
        <w:trPr>
          <w:trHeight w:val="117"/>
        </w:trPr>
        <w:tc>
          <w:tcPr>
            <w:tcW w:w="3787" w:type="dxa"/>
            <w:noWrap/>
          </w:tcPr>
          <w:p w:rsidR="00A6231B" w:rsidRPr="006D0DA3" w:rsidRDefault="00A6231B" w:rsidP="005C5496">
            <w:pPr>
              <w:spacing w:after="0" w:line="240" w:lineRule="auto"/>
              <w:jc w:val="right"/>
              <w:rPr>
                <w:rFonts w:asciiTheme="minorHAnsi" w:hAnsiTheme="minorHAnsi" w:cstheme="minorHAnsi"/>
                <w:color w:val="000000"/>
                <w:sz w:val="16"/>
                <w:szCs w:val="16"/>
              </w:rPr>
            </w:pPr>
          </w:p>
        </w:tc>
        <w:tc>
          <w:tcPr>
            <w:tcW w:w="1615" w:type="dxa"/>
            <w:noWrap/>
          </w:tcPr>
          <w:p w:rsidR="00A6231B" w:rsidRDefault="00A94CA5" w:rsidP="00027599">
            <w:pPr>
              <w:jc w:val="right"/>
            </w:pPr>
            <w:r w:rsidRPr="006D0DA3">
              <w:rPr>
                <w:rFonts w:asciiTheme="minorHAnsi" w:hAnsiTheme="minorHAnsi" w:cstheme="minorHAnsi"/>
                <w:b/>
                <w:bCs/>
                <w:color w:val="000000"/>
                <w:sz w:val="16"/>
                <w:szCs w:val="16"/>
              </w:rPr>
              <w:t>3</w:t>
            </w:r>
            <w:r w:rsidR="00027599">
              <w:rPr>
                <w:rFonts w:asciiTheme="minorHAnsi" w:hAnsiTheme="minorHAnsi" w:cstheme="minorHAnsi"/>
                <w:b/>
                <w:bCs/>
                <w:color w:val="000000"/>
                <w:sz w:val="16"/>
                <w:szCs w:val="16"/>
              </w:rPr>
              <w:t>1 July</w:t>
            </w:r>
            <w:r w:rsidRPr="006D0DA3">
              <w:rPr>
                <w:rFonts w:asciiTheme="minorHAnsi" w:hAnsiTheme="minorHAnsi" w:cstheme="minorHAnsi"/>
                <w:b/>
                <w:bCs/>
                <w:color w:val="000000"/>
                <w:sz w:val="16"/>
                <w:szCs w:val="16"/>
              </w:rPr>
              <w:t xml:space="preserve"> </w:t>
            </w:r>
            <w:r w:rsidR="00A6231B" w:rsidRPr="00AE5ABD">
              <w:rPr>
                <w:rFonts w:asciiTheme="minorHAnsi" w:hAnsiTheme="minorHAnsi" w:cstheme="minorHAnsi"/>
                <w:b/>
                <w:bCs/>
                <w:color w:val="000000"/>
                <w:sz w:val="16"/>
                <w:szCs w:val="16"/>
              </w:rPr>
              <w:t>2016</w:t>
            </w:r>
          </w:p>
        </w:tc>
        <w:tc>
          <w:tcPr>
            <w:tcW w:w="1615" w:type="dxa"/>
            <w:noWrap/>
          </w:tcPr>
          <w:p w:rsidR="00A6231B" w:rsidRDefault="009A6796" w:rsidP="00A6231B">
            <w:pPr>
              <w:jc w:val="right"/>
            </w:pPr>
            <w:r>
              <w:rPr>
                <w:rFonts w:asciiTheme="minorHAnsi" w:hAnsiTheme="minorHAnsi" w:cstheme="minorHAnsi"/>
                <w:b/>
                <w:bCs/>
                <w:color w:val="000000"/>
                <w:sz w:val="16"/>
                <w:szCs w:val="16"/>
              </w:rPr>
              <w:t>31 July 2015</w:t>
            </w:r>
          </w:p>
        </w:tc>
        <w:tc>
          <w:tcPr>
            <w:tcW w:w="1615" w:type="dxa"/>
            <w:noWrap/>
          </w:tcPr>
          <w:p w:rsidR="00A6231B" w:rsidRDefault="00027599" w:rsidP="00A6231B">
            <w:pPr>
              <w:jc w:val="right"/>
            </w:pPr>
            <w:r w:rsidRPr="006D0DA3">
              <w:rPr>
                <w:rFonts w:asciiTheme="minorHAnsi" w:hAnsiTheme="minorHAnsi" w:cstheme="minorHAnsi"/>
                <w:b/>
                <w:bCs/>
                <w:color w:val="000000"/>
                <w:sz w:val="16"/>
                <w:szCs w:val="16"/>
              </w:rPr>
              <w:t>3</w:t>
            </w:r>
            <w:r>
              <w:rPr>
                <w:rFonts w:asciiTheme="minorHAnsi" w:hAnsiTheme="minorHAnsi" w:cstheme="minorHAnsi"/>
                <w:b/>
                <w:bCs/>
                <w:color w:val="000000"/>
                <w:sz w:val="16"/>
                <w:szCs w:val="16"/>
              </w:rPr>
              <w:t>1 July</w:t>
            </w:r>
            <w:r w:rsidRPr="006D0DA3">
              <w:rPr>
                <w:rFonts w:asciiTheme="minorHAnsi" w:hAnsiTheme="minorHAnsi" w:cstheme="minorHAnsi"/>
                <w:b/>
                <w:bCs/>
                <w:color w:val="000000"/>
                <w:sz w:val="16"/>
                <w:szCs w:val="16"/>
              </w:rPr>
              <w:t xml:space="preserve"> </w:t>
            </w:r>
            <w:r w:rsidRPr="00AE5ABD">
              <w:rPr>
                <w:rFonts w:asciiTheme="minorHAnsi" w:hAnsiTheme="minorHAnsi" w:cstheme="minorHAnsi"/>
                <w:b/>
                <w:bCs/>
                <w:color w:val="000000"/>
                <w:sz w:val="16"/>
                <w:szCs w:val="16"/>
              </w:rPr>
              <w:t>2016</w:t>
            </w:r>
          </w:p>
        </w:tc>
        <w:tc>
          <w:tcPr>
            <w:tcW w:w="1615" w:type="dxa"/>
            <w:noWrap/>
          </w:tcPr>
          <w:p w:rsidR="00A6231B" w:rsidRDefault="009A6796" w:rsidP="00A6231B">
            <w:pPr>
              <w:jc w:val="right"/>
            </w:pPr>
            <w:r>
              <w:rPr>
                <w:rFonts w:asciiTheme="minorHAnsi" w:hAnsiTheme="minorHAnsi" w:cstheme="minorHAnsi"/>
                <w:b/>
                <w:bCs/>
                <w:color w:val="000000"/>
                <w:sz w:val="16"/>
                <w:szCs w:val="16"/>
              </w:rPr>
              <w:t>31 July 2015</w:t>
            </w:r>
          </w:p>
        </w:tc>
      </w:tr>
    </w:tbl>
    <w:p w:rsidR="00B23D77" w:rsidRPr="006D0DA3" w:rsidRDefault="00B23D77" w:rsidP="00223B18">
      <w:pPr>
        <w:autoSpaceDE w:val="0"/>
        <w:autoSpaceDN w:val="0"/>
        <w:adjustRightInd w:val="0"/>
        <w:spacing w:after="0" w:line="240" w:lineRule="auto"/>
        <w:rPr>
          <w:rFonts w:asciiTheme="minorHAnsi" w:hAnsiTheme="minorHAnsi" w:cstheme="minorHAnsi"/>
          <w:sz w:val="16"/>
          <w:szCs w:val="16"/>
        </w:rPr>
      </w:pPr>
    </w:p>
    <w:tbl>
      <w:tblPr>
        <w:tblW w:w="10278" w:type="dxa"/>
        <w:tblLayout w:type="fixed"/>
        <w:tblLook w:val="00A0" w:firstRow="1" w:lastRow="0" w:firstColumn="1" w:lastColumn="0" w:noHBand="0" w:noVBand="0"/>
      </w:tblPr>
      <w:tblGrid>
        <w:gridCol w:w="3798"/>
        <w:gridCol w:w="1620"/>
        <w:gridCol w:w="1620"/>
        <w:gridCol w:w="1620"/>
        <w:gridCol w:w="1620"/>
      </w:tblGrid>
      <w:tr w:rsidR="000A6665" w:rsidRPr="006D0DA3" w:rsidTr="00F10742">
        <w:trPr>
          <w:trHeight w:val="58"/>
        </w:trPr>
        <w:tc>
          <w:tcPr>
            <w:tcW w:w="3798" w:type="dxa"/>
            <w:tcBorders>
              <w:top w:val="nil"/>
              <w:left w:val="nil"/>
              <w:bottom w:val="nil"/>
              <w:right w:val="nil"/>
            </w:tcBorders>
            <w:noWrap/>
            <w:vAlign w:val="bottom"/>
          </w:tcPr>
          <w:tbl>
            <w:tblPr>
              <w:tblW w:w="10241" w:type="dxa"/>
              <w:tblLayout w:type="fixed"/>
              <w:tblLook w:val="00A0" w:firstRow="1" w:lastRow="0" w:firstColumn="1" w:lastColumn="0" w:noHBand="0" w:noVBand="0"/>
            </w:tblPr>
            <w:tblGrid>
              <w:gridCol w:w="10241"/>
            </w:tblGrid>
            <w:tr w:rsidR="000A6665" w:rsidRPr="006D0DA3" w:rsidTr="005C5496">
              <w:trPr>
                <w:trHeight w:val="58"/>
              </w:trPr>
              <w:tc>
                <w:tcPr>
                  <w:tcW w:w="4551"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Weighted average no. of ordinary shares</w:t>
                  </w:r>
                </w:p>
              </w:tc>
            </w:tr>
            <w:tr w:rsidR="000A6665" w:rsidRPr="006D0DA3" w:rsidTr="005C5496">
              <w:trPr>
                <w:trHeight w:val="58"/>
              </w:trPr>
              <w:tc>
                <w:tcPr>
                  <w:tcW w:w="4551"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in issue ('000)</w:t>
                  </w:r>
                </w:p>
              </w:tc>
            </w:tr>
          </w:tbl>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320C47" w:rsidP="00320C4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294,493</w:t>
            </w:r>
          </w:p>
        </w:tc>
        <w:tc>
          <w:tcPr>
            <w:tcW w:w="1620" w:type="dxa"/>
            <w:tcBorders>
              <w:top w:val="nil"/>
              <w:left w:val="nil"/>
              <w:bottom w:val="nil"/>
              <w:right w:val="nil"/>
            </w:tcBorders>
            <w:noWrap/>
            <w:vAlign w:val="bottom"/>
          </w:tcPr>
          <w:p w:rsidR="000A6665" w:rsidRPr="006D0DA3" w:rsidRDefault="009A6796" w:rsidP="005C54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0A6665" w:rsidRPr="006D0DA3" w:rsidRDefault="00CA33F7" w:rsidP="00320C4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28</w:t>
            </w:r>
            <w:r w:rsidR="00320C47">
              <w:rPr>
                <w:rFonts w:asciiTheme="minorHAnsi" w:hAnsiTheme="minorHAnsi" w:cstheme="minorHAnsi"/>
                <w:color w:val="000000"/>
                <w:sz w:val="16"/>
                <w:szCs w:val="16"/>
              </w:rPr>
              <w:t>4,062</w:t>
            </w:r>
          </w:p>
        </w:tc>
        <w:tc>
          <w:tcPr>
            <w:tcW w:w="1620" w:type="dxa"/>
            <w:tcBorders>
              <w:top w:val="nil"/>
              <w:left w:val="nil"/>
              <w:bottom w:val="nil"/>
              <w:right w:val="nil"/>
            </w:tcBorders>
            <w:noWrap/>
            <w:vAlign w:val="bottom"/>
          </w:tcPr>
          <w:p w:rsidR="000A6665" w:rsidRPr="006D0DA3" w:rsidRDefault="009A6796" w:rsidP="005C54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0A6665" w:rsidRPr="006D0DA3" w:rsidTr="00F10742">
        <w:trPr>
          <w:trHeight w:val="58"/>
        </w:trPr>
        <w:tc>
          <w:tcPr>
            <w:tcW w:w="3798"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jc w:val="right"/>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jc w:val="right"/>
              <w:rPr>
                <w:rFonts w:asciiTheme="minorHAnsi" w:hAnsiTheme="minorHAnsi" w:cstheme="minorHAnsi"/>
                <w:color w:val="000000"/>
                <w:sz w:val="16"/>
                <w:szCs w:val="16"/>
              </w:rPr>
            </w:pPr>
          </w:p>
        </w:tc>
      </w:tr>
      <w:tr w:rsidR="000A6665" w:rsidRPr="006D0DA3" w:rsidTr="00F10742">
        <w:trPr>
          <w:trHeight w:val="58"/>
        </w:trPr>
        <w:tc>
          <w:tcPr>
            <w:tcW w:w="3798" w:type="dxa"/>
            <w:tcBorders>
              <w:top w:val="nil"/>
              <w:left w:val="nil"/>
              <w:bottom w:val="nil"/>
              <w:right w:val="nil"/>
            </w:tcBorders>
            <w:noWrap/>
            <w:vAlign w:val="bottom"/>
          </w:tcPr>
          <w:tbl>
            <w:tblPr>
              <w:tblW w:w="10241" w:type="dxa"/>
              <w:tblLayout w:type="fixed"/>
              <w:tblLook w:val="00A0" w:firstRow="1" w:lastRow="0" w:firstColumn="1" w:lastColumn="0" w:noHBand="0" w:noVBand="0"/>
            </w:tblPr>
            <w:tblGrid>
              <w:gridCol w:w="10241"/>
            </w:tblGrid>
            <w:tr w:rsidR="000A6665" w:rsidRPr="006D0DA3" w:rsidTr="005C5496">
              <w:trPr>
                <w:trHeight w:val="58"/>
              </w:trPr>
              <w:tc>
                <w:tcPr>
                  <w:tcW w:w="4551"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Weighted average no. of ordinary shares</w:t>
                  </w:r>
                </w:p>
              </w:tc>
            </w:tr>
            <w:tr w:rsidR="000A6665" w:rsidRPr="006D0DA3" w:rsidTr="005C5496">
              <w:trPr>
                <w:trHeight w:val="58"/>
              </w:trPr>
              <w:tc>
                <w:tcPr>
                  <w:tcW w:w="4551"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in issue adjusted for the effect of dilutive potential </w:t>
                  </w:r>
                </w:p>
                <w:p w:rsidR="000A6665" w:rsidRPr="006D0DA3" w:rsidRDefault="000A6665" w:rsidP="005C5496">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ordinary shares('000)</w:t>
                  </w:r>
                </w:p>
              </w:tc>
            </w:tr>
          </w:tbl>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320C47" w:rsidP="005C54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294,493</w:t>
            </w:r>
          </w:p>
        </w:tc>
        <w:tc>
          <w:tcPr>
            <w:tcW w:w="1620" w:type="dxa"/>
            <w:tcBorders>
              <w:top w:val="nil"/>
              <w:left w:val="nil"/>
              <w:bottom w:val="nil"/>
              <w:right w:val="nil"/>
            </w:tcBorders>
            <w:noWrap/>
            <w:vAlign w:val="bottom"/>
          </w:tcPr>
          <w:p w:rsidR="000A6665" w:rsidRPr="006D0DA3" w:rsidRDefault="009A6796" w:rsidP="005C54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0A6665" w:rsidRPr="006D0DA3" w:rsidRDefault="00CA33F7" w:rsidP="00320C4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28</w:t>
            </w:r>
            <w:r w:rsidR="00320C47">
              <w:rPr>
                <w:rFonts w:asciiTheme="minorHAnsi" w:hAnsiTheme="minorHAnsi" w:cstheme="minorHAnsi"/>
                <w:color w:val="000000"/>
                <w:sz w:val="16"/>
                <w:szCs w:val="16"/>
              </w:rPr>
              <w:t>4,0</w:t>
            </w:r>
            <w:r>
              <w:rPr>
                <w:rFonts w:asciiTheme="minorHAnsi" w:hAnsiTheme="minorHAnsi" w:cstheme="minorHAnsi"/>
                <w:color w:val="000000"/>
                <w:sz w:val="16"/>
                <w:szCs w:val="16"/>
              </w:rPr>
              <w:t>62</w:t>
            </w:r>
          </w:p>
        </w:tc>
        <w:tc>
          <w:tcPr>
            <w:tcW w:w="1620" w:type="dxa"/>
            <w:tcBorders>
              <w:top w:val="nil"/>
              <w:left w:val="nil"/>
              <w:bottom w:val="nil"/>
              <w:right w:val="nil"/>
            </w:tcBorders>
            <w:noWrap/>
            <w:vAlign w:val="bottom"/>
          </w:tcPr>
          <w:p w:rsidR="000A6665" w:rsidRPr="006D0DA3" w:rsidRDefault="009A6796" w:rsidP="005C54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0A6665" w:rsidRPr="006D0DA3" w:rsidTr="00F10742">
        <w:trPr>
          <w:trHeight w:val="58"/>
        </w:trPr>
        <w:tc>
          <w:tcPr>
            <w:tcW w:w="3798"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jc w:val="center"/>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jc w:val="right"/>
              <w:rPr>
                <w:rFonts w:asciiTheme="minorHAnsi" w:hAnsiTheme="minorHAnsi" w:cstheme="minorHAnsi"/>
                <w:color w:val="000000"/>
                <w:sz w:val="16"/>
                <w:szCs w:val="16"/>
              </w:rPr>
            </w:pPr>
          </w:p>
        </w:tc>
      </w:tr>
      <w:tr w:rsidR="000A6665" w:rsidRPr="006D0DA3" w:rsidTr="00240B24">
        <w:trPr>
          <w:trHeight w:val="58"/>
        </w:trPr>
        <w:tc>
          <w:tcPr>
            <w:tcW w:w="7038" w:type="dxa"/>
            <w:gridSpan w:val="3"/>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r w:rsidRPr="006D0DA3">
              <w:rPr>
                <w:rFonts w:asciiTheme="minorHAnsi" w:hAnsiTheme="minorHAnsi" w:cstheme="minorHAnsi"/>
                <w:b/>
                <w:bCs/>
                <w:color w:val="000000"/>
                <w:sz w:val="16"/>
                <w:szCs w:val="16"/>
              </w:rPr>
              <w:t>Earnings/(loss) per ordinary share (sen):</w:t>
            </w:r>
          </w:p>
        </w:tc>
        <w:tc>
          <w:tcPr>
            <w:tcW w:w="3240" w:type="dxa"/>
            <w:gridSpan w:val="2"/>
            <w:tcBorders>
              <w:top w:val="nil"/>
              <w:left w:val="nil"/>
              <w:bottom w:val="nil"/>
              <w:right w:val="nil"/>
            </w:tcBorders>
            <w:noWrap/>
            <w:vAlign w:val="bottom"/>
          </w:tcPr>
          <w:p w:rsidR="000A6665" w:rsidRPr="006D0DA3" w:rsidRDefault="000A6665" w:rsidP="005C5496">
            <w:pPr>
              <w:spacing w:after="0" w:line="240" w:lineRule="auto"/>
              <w:jc w:val="center"/>
              <w:rPr>
                <w:rFonts w:asciiTheme="minorHAnsi" w:hAnsiTheme="minorHAnsi" w:cstheme="minorHAnsi"/>
                <w:color w:val="000000"/>
                <w:sz w:val="16"/>
                <w:szCs w:val="16"/>
              </w:rPr>
            </w:pPr>
          </w:p>
        </w:tc>
      </w:tr>
      <w:tr w:rsidR="000A6665" w:rsidRPr="006D0DA3" w:rsidTr="00F10742">
        <w:trPr>
          <w:trHeight w:val="58"/>
        </w:trPr>
        <w:tc>
          <w:tcPr>
            <w:tcW w:w="3798"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jc w:val="center"/>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jc w:val="center"/>
              <w:rPr>
                <w:rFonts w:asciiTheme="minorHAnsi" w:hAnsiTheme="minorHAnsi" w:cstheme="minorHAnsi"/>
                <w:color w:val="000000"/>
                <w:sz w:val="16"/>
                <w:szCs w:val="16"/>
              </w:rPr>
            </w:pPr>
          </w:p>
        </w:tc>
      </w:tr>
      <w:tr w:rsidR="000A6665" w:rsidRPr="006D0DA3" w:rsidTr="00F10742">
        <w:trPr>
          <w:trHeight w:val="58"/>
        </w:trPr>
        <w:tc>
          <w:tcPr>
            <w:tcW w:w="3798"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Basic earnings/(loss) per share (sen)</w:t>
            </w:r>
          </w:p>
        </w:tc>
        <w:tc>
          <w:tcPr>
            <w:tcW w:w="1620" w:type="dxa"/>
            <w:tcBorders>
              <w:top w:val="nil"/>
              <w:left w:val="nil"/>
              <w:bottom w:val="nil"/>
              <w:right w:val="nil"/>
            </w:tcBorders>
            <w:noWrap/>
            <w:vAlign w:val="bottom"/>
          </w:tcPr>
          <w:p w:rsidR="000A6665" w:rsidRPr="006D0DA3" w:rsidRDefault="00F145E6" w:rsidP="008628B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005B53AF">
              <w:rPr>
                <w:rFonts w:asciiTheme="minorHAnsi" w:hAnsiTheme="minorHAnsi" w:cstheme="minorHAnsi"/>
                <w:color w:val="000000"/>
                <w:sz w:val="16"/>
                <w:szCs w:val="16"/>
              </w:rPr>
              <w:t>0.</w:t>
            </w:r>
            <w:r w:rsidR="008628B4">
              <w:rPr>
                <w:rFonts w:asciiTheme="minorHAnsi" w:hAnsiTheme="minorHAnsi" w:cstheme="minorHAnsi"/>
                <w:color w:val="000000"/>
                <w:sz w:val="16"/>
                <w:szCs w:val="16"/>
              </w:rPr>
              <w:t>14</w:t>
            </w: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0A6665" w:rsidRPr="006D0DA3" w:rsidRDefault="009A6796" w:rsidP="00CF7FE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0A6665" w:rsidRPr="006D0DA3" w:rsidRDefault="000A6665" w:rsidP="008628B4">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8628B4">
              <w:rPr>
                <w:rFonts w:asciiTheme="minorHAnsi" w:hAnsiTheme="minorHAnsi" w:cstheme="minorHAnsi"/>
                <w:color w:val="000000"/>
                <w:sz w:val="16"/>
                <w:szCs w:val="16"/>
              </w:rPr>
              <w:t>3.96</w:t>
            </w:r>
            <w:r w:rsidRPr="006D0DA3">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0A6665" w:rsidRPr="006D0DA3" w:rsidRDefault="009A6796" w:rsidP="00CF7FE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0A6665" w:rsidRPr="006D0DA3" w:rsidTr="00F10742">
        <w:trPr>
          <w:trHeight w:val="58"/>
        </w:trPr>
        <w:tc>
          <w:tcPr>
            <w:tcW w:w="3798"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Diluted earnings/(loss) per share (sen)</w:t>
            </w:r>
          </w:p>
        </w:tc>
        <w:tc>
          <w:tcPr>
            <w:tcW w:w="1620" w:type="dxa"/>
            <w:tcBorders>
              <w:top w:val="nil"/>
              <w:left w:val="nil"/>
              <w:bottom w:val="nil"/>
              <w:right w:val="nil"/>
            </w:tcBorders>
            <w:noWrap/>
            <w:vAlign w:val="bottom"/>
          </w:tcPr>
          <w:p w:rsidR="000A6665" w:rsidRPr="006D0DA3" w:rsidRDefault="000A6665" w:rsidP="005C5496">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N/A</w:t>
            </w:r>
          </w:p>
        </w:tc>
        <w:tc>
          <w:tcPr>
            <w:tcW w:w="1620" w:type="dxa"/>
            <w:tcBorders>
              <w:top w:val="nil"/>
              <w:left w:val="nil"/>
              <w:bottom w:val="nil"/>
              <w:right w:val="nil"/>
            </w:tcBorders>
            <w:noWrap/>
            <w:vAlign w:val="bottom"/>
          </w:tcPr>
          <w:p w:rsidR="000A6665" w:rsidRPr="006D0DA3" w:rsidRDefault="009A6796" w:rsidP="00CF7FE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620" w:type="dxa"/>
            <w:tcBorders>
              <w:top w:val="nil"/>
              <w:left w:val="nil"/>
              <w:bottom w:val="nil"/>
              <w:right w:val="nil"/>
            </w:tcBorders>
            <w:noWrap/>
            <w:vAlign w:val="bottom"/>
          </w:tcPr>
          <w:p w:rsidR="000A6665" w:rsidRPr="006D0DA3" w:rsidRDefault="000A6665" w:rsidP="005C5496">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N/A</w:t>
            </w:r>
          </w:p>
        </w:tc>
        <w:tc>
          <w:tcPr>
            <w:tcW w:w="1620" w:type="dxa"/>
            <w:tcBorders>
              <w:top w:val="nil"/>
              <w:left w:val="nil"/>
              <w:bottom w:val="nil"/>
              <w:right w:val="nil"/>
            </w:tcBorders>
            <w:noWrap/>
            <w:vAlign w:val="bottom"/>
          </w:tcPr>
          <w:p w:rsidR="000A6665" w:rsidRPr="006D0DA3" w:rsidRDefault="009A6796" w:rsidP="00CF7FE2">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0A6665" w:rsidRPr="006D0DA3" w:rsidTr="00F10742">
        <w:trPr>
          <w:trHeight w:val="58"/>
        </w:trPr>
        <w:tc>
          <w:tcPr>
            <w:tcW w:w="3798"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c>
          <w:tcPr>
            <w:tcW w:w="1620" w:type="dxa"/>
            <w:tcBorders>
              <w:top w:val="nil"/>
              <w:left w:val="nil"/>
              <w:bottom w:val="nil"/>
              <w:right w:val="nil"/>
            </w:tcBorders>
            <w:noWrap/>
            <w:vAlign w:val="bottom"/>
          </w:tcPr>
          <w:p w:rsidR="000A6665" w:rsidRPr="006D0DA3" w:rsidRDefault="000A6665" w:rsidP="005C5496">
            <w:pPr>
              <w:spacing w:after="0" w:line="240" w:lineRule="auto"/>
              <w:rPr>
                <w:rFonts w:asciiTheme="minorHAnsi" w:hAnsiTheme="minorHAnsi" w:cstheme="minorHAnsi"/>
                <w:color w:val="000000"/>
                <w:sz w:val="16"/>
                <w:szCs w:val="16"/>
              </w:rPr>
            </w:pPr>
          </w:p>
        </w:tc>
      </w:tr>
    </w:tbl>
    <w:p w:rsidR="00223B18" w:rsidRPr="006D0DA3" w:rsidRDefault="00223B18" w:rsidP="00223B18">
      <w:pPr>
        <w:autoSpaceDE w:val="0"/>
        <w:autoSpaceDN w:val="0"/>
        <w:adjustRightInd w:val="0"/>
        <w:spacing w:after="0" w:line="240" w:lineRule="auto"/>
        <w:rPr>
          <w:rFonts w:asciiTheme="minorHAnsi" w:hAnsiTheme="minorHAnsi" w:cstheme="minorHAnsi"/>
          <w:sz w:val="16"/>
          <w:szCs w:val="16"/>
        </w:rPr>
      </w:pPr>
    </w:p>
    <w:p w:rsidR="00223B18" w:rsidRPr="006D0DA3" w:rsidRDefault="00223B18" w:rsidP="00223B18">
      <w:pPr>
        <w:autoSpaceDE w:val="0"/>
        <w:autoSpaceDN w:val="0"/>
        <w:adjustRightInd w:val="0"/>
        <w:spacing w:after="0" w:line="240" w:lineRule="auto"/>
        <w:rPr>
          <w:rFonts w:asciiTheme="minorHAnsi" w:hAnsiTheme="minorHAnsi" w:cstheme="minorHAnsi"/>
          <w:sz w:val="16"/>
          <w:szCs w:val="16"/>
        </w:rPr>
      </w:pPr>
      <w:r w:rsidRPr="006D0DA3">
        <w:rPr>
          <w:rFonts w:asciiTheme="minorHAnsi" w:hAnsiTheme="minorHAnsi" w:cstheme="minorHAnsi"/>
          <w:sz w:val="16"/>
          <w:szCs w:val="16"/>
        </w:rPr>
        <w:t>Notes:</w:t>
      </w:r>
    </w:p>
    <w:p w:rsidR="007E032E" w:rsidRPr="006D0DA3" w:rsidRDefault="007E032E" w:rsidP="00223B18">
      <w:pPr>
        <w:autoSpaceDE w:val="0"/>
        <w:autoSpaceDN w:val="0"/>
        <w:adjustRightInd w:val="0"/>
        <w:spacing w:after="0" w:line="240" w:lineRule="auto"/>
        <w:rPr>
          <w:rFonts w:asciiTheme="minorHAnsi" w:hAnsiTheme="minorHAnsi" w:cstheme="minorHAnsi"/>
          <w:sz w:val="16"/>
          <w:szCs w:val="16"/>
        </w:rPr>
      </w:pPr>
    </w:p>
    <w:p w:rsidR="007E032E" w:rsidRPr="006D0DA3" w:rsidRDefault="007E032E" w:rsidP="00223B18">
      <w:pPr>
        <w:autoSpaceDE w:val="0"/>
        <w:autoSpaceDN w:val="0"/>
        <w:adjustRightInd w:val="0"/>
        <w:spacing w:after="0" w:line="240" w:lineRule="auto"/>
        <w:rPr>
          <w:rFonts w:asciiTheme="minorHAnsi" w:hAnsiTheme="minorHAnsi" w:cstheme="minorHAnsi"/>
          <w:sz w:val="16"/>
          <w:szCs w:val="16"/>
        </w:rPr>
      </w:pPr>
      <w:r w:rsidRPr="006D0DA3">
        <w:rPr>
          <w:rFonts w:asciiTheme="minorHAnsi" w:hAnsiTheme="minorHAnsi" w:cstheme="minorHAnsi"/>
          <w:sz w:val="16"/>
          <w:szCs w:val="16"/>
        </w:rPr>
        <w:t>^</w:t>
      </w:r>
      <w:r w:rsidRPr="006D0DA3">
        <w:rPr>
          <w:rFonts w:asciiTheme="minorHAnsi" w:hAnsiTheme="minorHAnsi" w:cstheme="minorHAnsi"/>
          <w:sz w:val="16"/>
          <w:szCs w:val="16"/>
        </w:rPr>
        <w:tab/>
        <w:t>Less than RM1,000</w:t>
      </w:r>
      <w:r w:rsidR="008D7751" w:rsidRPr="006D0DA3">
        <w:rPr>
          <w:rFonts w:asciiTheme="minorHAnsi" w:hAnsiTheme="minorHAnsi" w:cstheme="minorHAnsi"/>
          <w:sz w:val="16"/>
          <w:szCs w:val="16"/>
        </w:rPr>
        <w:t>.</w:t>
      </w:r>
    </w:p>
    <w:p w:rsidR="00223B18" w:rsidRPr="006D0DA3" w:rsidRDefault="00223B18" w:rsidP="00223B18">
      <w:pPr>
        <w:autoSpaceDE w:val="0"/>
        <w:autoSpaceDN w:val="0"/>
        <w:adjustRightInd w:val="0"/>
        <w:spacing w:after="0" w:line="240" w:lineRule="auto"/>
        <w:rPr>
          <w:rFonts w:asciiTheme="minorHAnsi" w:hAnsiTheme="minorHAnsi" w:cstheme="minorHAnsi"/>
          <w:sz w:val="16"/>
          <w:szCs w:val="16"/>
        </w:rPr>
      </w:pPr>
    </w:p>
    <w:p w:rsidR="00223B18" w:rsidRPr="006D0DA3" w:rsidRDefault="005D25B8" w:rsidP="00FB7221">
      <w:pPr>
        <w:autoSpaceDE w:val="0"/>
        <w:autoSpaceDN w:val="0"/>
        <w:adjustRightInd w:val="0"/>
        <w:spacing w:after="0" w:line="240" w:lineRule="auto"/>
        <w:ind w:left="720" w:hanging="720"/>
        <w:jc w:val="both"/>
        <w:rPr>
          <w:rFonts w:asciiTheme="minorHAnsi" w:hAnsiTheme="minorHAnsi" w:cstheme="minorHAnsi"/>
          <w:sz w:val="16"/>
          <w:szCs w:val="16"/>
        </w:rPr>
      </w:pPr>
      <w:r w:rsidRPr="006D0DA3">
        <w:rPr>
          <w:rFonts w:asciiTheme="minorHAnsi" w:hAnsiTheme="minorHAnsi" w:cstheme="minorHAnsi"/>
          <w:sz w:val="16"/>
          <w:szCs w:val="16"/>
        </w:rPr>
        <w:t>(i)</w:t>
      </w:r>
      <w:r w:rsidRPr="006D0DA3">
        <w:rPr>
          <w:rFonts w:asciiTheme="minorHAnsi" w:hAnsiTheme="minorHAnsi" w:cstheme="minorHAnsi"/>
          <w:sz w:val="16"/>
          <w:szCs w:val="16"/>
        </w:rPr>
        <w:tab/>
        <w:t xml:space="preserve">Basic </w:t>
      </w:r>
      <w:r w:rsidR="00D20571" w:rsidRPr="006D0DA3">
        <w:rPr>
          <w:rFonts w:asciiTheme="minorHAnsi" w:hAnsiTheme="minorHAnsi" w:cstheme="minorHAnsi"/>
          <w:sz w:val="16"/>
          <w:szCs w:val="16"/>
        </w:rPr>
        <w:t>earning</w:t>
      </w:r>
      <w:r w:rsidR="00C35E5F" w:rsidRPr="006D0DA3">
        <w:rPr>
          <w:rFonts w:asciiTheme="minorHAnsi" w:hAnsiTheme="minorHAnsi" w:cstheme="minorHAnsi"/>
          <w:sz w:val="16"/>
          <w:szCs w:val="16"/>
        </w:rPr>
        <w:t>s</w:t>
      </w:r>
      <w:r w:rsidR="00D20571" w:rsidRPr="006D0DA3">
        <w:rPr>
          <w:rFonts w:asciiTheme="minorHAnsi" w:hAnsiTheme="minorHAnsi" w:cstheme="minorHAnsi"/>
          <w:sz w:val="16"/>
          <w:szCs w:val="16"/>
        </w:rPr>
        <w:t>/(</w:t>
      </w:r>
      <w:r w:rsidRPr="006D0DA3">
        <w:rPr>
          <w:rFonts w:asciiTheme="minorHAnsi" w:hAnsiTheme="minorHAnsi" w:cstheme="minorHAnsi"/>
          <w:sz w:val="16"/>
          <w:szCs w:val="16"/>
        </w:rPr>
        <w:t>loss</w:t>
      </w:r>
      <w:r w:rsidR="00D20571" w:rsidRPr="006D0DA3">
        <w:rPr>
          <w:rFonts w:asciiTheme="minorHAnsi" w:hAnsiTheme="minorHAnsi" w:cstheme="minorHAnsi"/>
          <w:sz w:val="16"/>
          <w:szCs w:val="16"/>
        </w:rPr>
        <w:t>)</w:t>
      </w:r>
      <w:r w:rsidR="00223B18" w:rsidRPr="006D0DA3">
        <w:rPr>
          <w:rFonts w:asciiTheme="minorHAnsi" w:hAnsiTheme="minorHAnsi" w:cstheme="minorHAnsi"/>
          <w:sz w:val="16"/>
          <w:szCs w:val="16"/>
        </w:rPr>
        <w:t xml:space="preserve"> per share for the quarter and financial period is calcul</w:t>
      </w:r>
      <w:r w:rsidRPr="006D0DA3">
        <w:rPr>
          <w:rFonts w:asciiTheme="minorHAnsi" w:hAnsiTheme="minorHAnsi" w:cstheme="minorHAnsi"/>
          <w:sz w:val="16"/>
          <w:szCs w:val="16"/>
        </w:rPr>
        <w:t>ated based on the net loss</w:t>
      </w:r>
      <w:r w:rsidR="00223B18" w:rsidRPr="006D0DA3">
        <w:rPr>
          <w:rFonts w:asciiTheme="minorHAnsi" w:hAnsiTheme="minorHAnsi" w:cstheme="minorHAnsi"/>
          <w:sz w:val="16"/>
          <w:szCs w:val="16"/>
        </w:rPr>
        <w:t xml:space="preserve"> divided by the weighted average number of ordinary shares for the quarter and year-to-date respectively.</w:t>
      </w:r>
    </w:p>
    <w:p w:rsidR="00AC7454" w:rsidRPr="006D0DA3" w:rsidRDefault="00AC7454" w:rsidP="00FB7221">
      <w:pPr>
        <w:autoSpaceDE w:val="0"/>
        <w:autoSpaceDN w:val="0"/>
        <w:adjustRightInd w:val="0"/>
        <w:spacing w:after="0" w:line="240" w:lineRule="auto"/>
        <w:ind w:left="720" w:hanging="720"/>
        <w:jc w:val="both"/>
        <w:rPr>
          <w:rFonts w:asciiTheme="minorHAnsi" w:hAnsiTheme="minorHAnsi" w:cstheme="minorHAnsi"/>
          <w:sz w:val="16"/>
          <w:szCs w:val="16"/>
        </w:rPr>
      </w:pPr>
    </w:p>
    <w:p w:rsidR="006478EE" w:rsidRPr="006D0DA3" w:rsidRDefault="00AC7454" w:rsidP="00BF74EA">
      <w:pPr>
        <w:autoSpaceDE w:val="0"/>
        <w:autoSpaceDN w:val="0"/>
        <w:adjustRightInd w:val="0"/>
        <w:spacing w:after="0" w:line="240" w:lineRule="auto"/>
        <w:ind w:left="720" w:hanging="720"/>
        <w:jc w:val="both"/>
        <w:rPr>
          <w:rFonts w:asciiTheme="minorHAnsi" w:eastAsia="ITCAvantGardeStd-Bk" w:hAnsiTheme="minorHAnsi" w:cstheme="minorHAnsi"/>
          <w:sz w:val="16"/>
          <w:szCs w:val="16"/>
          <w:lang w:val="en-US" w:eastAsia="en-US"/>
        </w:rPr>
      </w:pPr>
      <w:r w:rsidRPr="006D0DA3">
        <w:rPr>
          <w:rFonts w:asciiTheme="minorHAnsi" w:hAnsiTheme="minorHAnsi" w:cstheme="minorHAnsi"/>
          <w:sz w:val="16"/>
          <w:szCs w:val="16"/>
        </w:rPr>
        <w:t>(ii)</w:t>
      </w:r>
      <w:r w:rsidRPr="006D0DA3">
        <w:rPr>
          <w:rFonts w:asciiTheme="minorHAnsi" w:hAnsiTheme="minorHAnsi" w:cstheme="minorHAnsi"/>
          <w:sz w:val="16"/>
          <w:szCs w:val="16"/>
        </w:rPr>
        <w:tab/>
        <w:t xml:space="preserve">Diluted </w:t>
      </w:r>
      <w:r w:rsidR="00D20571" w:rsidRPr="006D0DA3">
        <w:rPr>
          <w:rFonts w:asciiTheme="minorHAnsi" w:hAnsiTheme="minorHAnsi" w:cstheme="minorHAnsi"/>
          <w:sz w:val="16"/>
          <w:szCs w:val="16"/>
        </w:rPr>
        <w:t>earning</w:t>
      </w:r>
      <w:r w:rsidR="00C35E5F" w:rsidRPr="006D0DA3">
        <w:rPr>
          <w:rFonts w:asciiTheme="minorHAnsi" w:hAnsiTheme="minorHAnsi" w:cstheme="minorHAnsi"/>
          <w:sz w:val="16"/>
          <w:szCs w:val="16"/>
        </w:rPr>
        <w:t>s</w:t>
      </w:r>
      <w:r w:rsidR="00D20571" w:rsidRPr="006D0DA3">
        <w:rPr>
          <w:rFonts w:asciiTheme="minorHAnsi" w:hAnsiTheme="minorHAnsi" w:cstheme="minorHAnsi"/>
          <w:sz w:val="16"/>
          <w:szCs w:val="16"/>
        </w:rPr>
        <w:t>/(</w:t>
      </w:r>
      <w:r w:rsidRPr="006D0DA3">
        <w:rPr>
          <w:rFonts w:asciiTheme="minorHAnsi" w:hAnsiTheme="minorHAnsi" w:cstheme="minorHAnsi"/>
          <w:sz w:val="16"/>
          <w:szCs w:val="16"/>
        </w:rPr>
        <w:t>loss</w:t>
      </w:r>
      <w:r w:rsidR="00D20571" w:rsidRPr="006D0DA3">
        <w:rPr>
          <w:rFonts w:asciiTheme="minorHAnsi" w:hAnsiTheme="minorHAnsi" w:cstheme="minorHAnsi"/>
          <w:sz w:val="16"/>
          <w:szCs w:val="16"/>
        </w:rPr>
        <w:t>)</w:t>
      </w:r>
      <w:r w:rsidRPr="006D0DA3">
        <w:rPr>
          <w:rFonts w:asciiTheme="minorHAnsi" w:hAnsiTheme="minorHAnsi" w:cstheme="minorHAnsi"/>
          <w:sz w:val="16"/>
          <w:szCs w:val="16"/>
        </w:rPr>
        <w:t xml:space="preserve"> per share for the quarter and financial period is calculated based on the net </w:t>
      </w:r>
      <w:r w:rsidR="007648B0" w:rsidRPr="006D0DA3">
        <w:rPr>
          <w:rFonts w:asciiTheme="minorHAnsi" w:hAnsiTheme="minorHAnsi" w:cstheme="minorHAnsi"/>
          <w:sz w:val="16"/>
          <w:szCs w:val="16"/>
        </w:rPr>
        <w:t>profit/(</w:t>
      </w:r>
      <w:r w:rsidRPr="006D0DA3">
        <w:rPr>
          <w:rFonts w:asciiTheme="minorHAnsi" w:hAnsiTheme="minorHAnsi" w:cstheme="minorHAnsi"/>
          <w:sz w:val="16"/>
          <w:szCs w:val="16"/>
        </w:rPr>
        <w:t>loss</w:t>
      </w:r>
      <w:r w:rsidR="007648B0" w:rsidRPr="006D0DA3">
        <w:rPr>
          <w:rFonts w:asciiTheme="minorHAnsi" w:hAnsiTheme="minorHAnsi" w:cstheme="minorHAnsi"/>
          <w:sz w:val="16"/>
          <w:szCs w:val="16"/>
        </w:rPr>
        <w:t>)</w:t>
      </w:r>
      <w:r w:rsidRPr="006D0DA3">
        <w:rPr>
          <w:rFonts w:asciiTheme="minorHAnsi" w:hAnsiTheme="minorHAnsi" w:cstheme="minorHAnsi"/>
          <w:sz w:val="16"/>
          <w:szCs w:val="16"/>
        </w:rPr>
        <w:t xml:space="preserve"> divided by the weighted average number of ordinary shares</w:t>
      </w:r>
      <w:r w:rsidR="00EF6C80" w:rsidRPr="006D0DA3">
        <w:rPr>
          <w:rFonts w:asciiTheme="minorHAnsi" w:eastAsia="ITCAvantGardeStd-Bk" w:hAnsiTheme="minorHAnsi" w:cstheme="minorHAnsi"/>
          <w:sz w:val="16"/>
          <w:szCs w:val="16"/>
          <w:lang w:val="en-US" w:eastAsia="en-US"/>
        </w:rPr>
        <w:t xml:space="preserve"> after adjustment for the effects of all dilutive potential ordinary shares</w:t>
      </w:r>
      <w:r w:rsidRPr="006D0DA3">
        <w:rPr>
          <w:rFonts w:asciiTheme="minorHAnsi" w:hAnsiTheme="minorHAnsi" w:cstheme="minorHAnsi"/>
          <w:sz w:val="16"/>
          <w:szCs w:val="16"/>
        </w:rPr>
        <w:t>.</w:t>
      </w:r>
      <w:r w:rsidR="00C35E5F" w:rsidRPr="006D0DA3">
        <w:rPr>
          <w:rFonts w:asciiTheme="minorHAnsi" w:hAnsiTheme="minorHAnsi" w:cstheme="minorHAnsi"/>
          <w:sz w:val="16"/>
          <w:szCs w:val="16"/>
        </w:rPr>
        <w:t xml:space="preserve"> No diluted earnings/(loss) per share is disclosed as all potential ordinary shares are anti</w:t>
      </w:r>
      <w:r w:rsidR="005645F3">
        <w:rPr>
          <w:rFonts w:asciiTheme="minorHAnsi" w:hAnsiTheme="minorHAnsi" w:cstheme="minorHAnsi"/>
          <w:sz w:val="16"/>
          <w:szCs w:val="16"/>
        </w:rPr>
        <w:t>-</w:t>
      </w:r>
      <w:r w:rsidR="00C35E5F" w:rsidRPr="006D0DA3">
        <w:rPr>
          <w:rFonts w:asciiTheme="minorHAnsi" w:hAnsiTheme="minorHAnsi" w:cstheme="minorHAnsi"/>
          <w:sz w:val="16"/>
          <w:szCs w:val="16"/>
        </w:rPr>
        <w:t>dilutive.</w:t>
      </w:r>
    </w:p>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lang w:val="en-US"/>
        </w:rPr>
      </w:pPr>
    </w:p>
    <w:p w:rsidR="00223B18" w:rsidRPr="006D0DA3" w:rsidRDefault="00223B18" w:rsidP="00FB7221">
      <w:pPr>
        <w:autoSpaceDE w:val="0"/>
        <w:autoSpaceDN w:val="0"/>
        <w:adjustRightInd w:val="0"/>
        <w:spacing w:after="0" w:line="240" w:lineRule="auto"/>
        <w:ind w:left="720" w:hanging="720"/>
        <w:jc w:val="both"/>
        <w:rPr>
          <w:rFonts w:asciiTheme="minorHAnsi" w:hAnsiTheme="minorHAnsi" w:cstheme="minorHAnsi"/>
          <w:sz w:val="16"/>
          <w:szCs w:val="16"/>
        </w:rPr>
      </w:pPr>
      <w:r w:rsidRPr="006D0DA3">
        <w:rPr>
          <w:rFonts w:asciiTheme="minorHAnsi" w:hAnsiTheme="minorHAnsi" w:cstheme="minorHAnsi"/>
          <w:sz w:val="16"/>
          <w:szCs w:val="16"/>
        </w:rPr>
        <w:t>(i</w:t>
      </w:r>
      <w:r w:rsidR="00AC7454" w:rsidRPr="006D0DA3">
        <w:rPr>
          <w:rFonts w:asciiTheme="minorHAnsi" w:hAnsiTheme="minorHAnsi" w:cstheme="minorHAnsi"/>
          <w:sz w:val="16"/>
          <w:szCs w:val="16"/>
        </w:rPr>
        <w:t>i</w:t>
      </w:r>
      <w:r w:rsidRPr="006D0DA3">
        <w:rPr>
          <w:rFonts w:asciiTheme="minorHAnsi" w:hAnsiTheme="minorHAnsi" w:cstheme="minorHAnsi"/>
          <w:sz w:val="16"/>
          <w:szCs w:val="16"/>
        </w:rPr>
        <w:t>i)</w:t>
      </w:r>
      <w:r w:rsidRPr="006D0DA3">
        <w:rPr>
          <w:rFonts w:asciiTheme="minorHAnsi" w:hAnsiTheme="minorHAnsi" w:cstheme="minorHAnsi"/>
          <w:sz w:val="16"/>
          <w:szCs w:val="16"/>
        </w:rPr>
        <w:tab/>
        <w:t xml:space="preserve">The Unaudited Condensed Consolidated Statements of Comprehensive Income should be read in conjunction with the audited financial statements of </w:t>
      </w:r>
      <w:r w:rsidR="005D25B8" w:rsidRPr="006D0DA3">
        <w:rPr>
          <w:rFonts w:asciiTheme="minorHAnsi" w:hAnsiTheme="minorHAnsi" w:cstheme="minorHAnsi"/>
          <w:sz w:val="16"/>
          <w:szCs w:val="16"/>
        </w:rPr>
        <w:t>the Group for the financial period</w:t>
      </w:r>
      <w:r w:rsidRPr="006D0DA3">
        <w:rPr>
          <w:rFonts w:asciiTheme="minorHAnsi" w:hAnsiTheme="minorHAnsi" w:cstheme="minorHAnsi"/>
          <w:sz w:val="16"/>
          <w:szCs w:val="16"/>
        </w:rPr>
        <w:t xml:space="preserve"> ended (“</w:t>
      </w:r>
      <w:r w:rsidR="005D25B8" w:rsidRPr="006D0DA3">
        <w:rPr>
          <w:rFonts w:asciiTheme="minorHAnsi" w:hAnsiTheme="minorHAnsi" w:cstheme="minorHAnsi"/>
          <w:b/>
          <w:sz w:val="16"/>
          <w:szCs w:val="16"/>
        </w:rPr>
        <w:t>FP</w:t>
      </w:r>
      <w:r w:rsidRPr="006D0DA3">
        <w:rPr>
          <w:rFonts w:asciiTheme="minorHAnsi" w:hAnsiTheme="minorHAnsi" w:cstheme="minorHAnsi"/>
          <w:b/>
          <w:sz w:val="16"/>
          <w:szCs w:val="16"/>
        </w:rPr>
        <w:t>E</w:t>
      </w:r>
      <w:r w:rsidR="005D25B8" w:rsidRPr="006D0DA3">
        <w:rPr>
          <w:rFonts w:asciiTheme="minorHAnsi" w:hAnsiTheme="minorHAnsi" w:cstheme="minorHAnsi"/>
          <w:sz w:val="16"/>
          <w:szCs w:val="16"/>
        </w:rPr>
        <w:t>”) 31 March</w:t>
      </w:r>
      <w:r w:rsidRPr="006D0DA3">
        <w:rPr>
          <w:rFonts w:asciiTheme="minorHAnsi" w:hAnsiTheme="minorHAnsi" w:cstheme="minorHAnsi"/>
          <w:sz w:val="16"/>
          <w:szCs w:val="16"/>
        </w:rPr>
        <w:t xml:space="preserve"> 201</w:t>
      </w:r>
      <w:r w:rsidR="005D25B8" w:rsidRPr="006D0DA3">
        <w:rPr>
          <w:rFonts w:asciiTheme="minorHAnsi" w:hAnsiTheme="minorHAnsi" w:cstheme="minorHAnsi"/>
          <w:sz w:val="16"/>
          <w:szCs w:val="16"/>
        </w:rPr>
        <w:t>5</w:t>
      </w:r>
      <w:r w:rsidRPr="006D0DA3">
        <w:rPr>
          <w:rFonts w:asciiTheme="minorHAnsi" w:hAnsiTheme="minorHAnsi" w:cstheme="minorHAnsi"/>
          <w:sz w:val="16"/>
          <w:szCs w:val="16"/>
        </w:rPr>
        <w:t xml:space="preserve"> and the accompanying notes attached to this interim financial report.</w:t>
      </w:r>
    </w:p>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p w:rsidR="00223B18" w:rsidRPr="006D0DA3" w:rsidRDefault="00AC7454" w:rsidP="00223B18">
      <w:pPr>
        <w:autoSpaceDE w:val="0"/>
        <w:autoSpaceDN w:val="0"/>
        <w:adjustRightInd w:val="0"/>
        <w:spacing w:after="0" w:line="240" w:lineRule="auto"/>
        <w:jc w:val="both"/>
        <w:rPr>
          <w:rFonts w:asciiTheme="minorHAnsi" w:hAnsiTheme="minorHAnsi" w:cstheme="minorHAnsi"/>
          <w:sz w:val="16"/>
          <w:szCs w:val="16"/>
        </w:rPr>
      </w:pPr>
      <w:r w:rsidRPr="006D0DA3">
        <w:rPr>
          <w:rFonts w:asciiTheme="minorHAnsi" w:hAnsiTheme="minorHAnsi" w:cstheme="minorHAnsi"/>
          <w:sz w:val="16"/>
          <w:szCs w:val="16"/>
        </w:rPr>
        <w:t>(iv</w:t>
      </w:r>
      <w:r w:rsidR="00223B18" w:rsidRPr="006D0DA3">
        <w:rPr>
          <w:rFonts w:asciiTheme="minorHAnsi" w:hAnsiTheme="minorHAnsi" w:cstheme="minorHAnsi"/>
          <w:sz w:val="16"/>
          <w:szCs w:val="16"/>
        </w:rPr>
        <w:t>)</w:t>
      </w:r>
      <w:r w:rsidR="00223B18" w:rsidRPr="006D0DA3">
        <w:rPr>
          <w:rFonts w:asciiTheme="minorHAnsi" w:hAnsiTheme="minorHAnsi" w:cstheme="minorHAnsi"/>
          <w:sz w:val="16"/>
          <w:szCs w:val="16"/>
        </w:rPr>
        <w:tab/>
        <w:t>The loss before taxation is arrived at after charging/ (crediting) the following items:-</w:t>
      </w:r>
    </w:p>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tbl>
      <w:tblPr>
        <w:tblW w:w="0" w:type="auto"/>
        <w:tblInd w:w="548" w:type="dxa"/>
        <w:tblLook w:val="01E0" w:firstRow="1" w:lastRow="1" w:firstColumn="1" w:lastColumn="1" w:noHBand="0" w:noVBand="0"/>
      </w:tblPr>
      <w:tblGrid>
        <w:gridCol w:w="439"/>
        <w:gridCol w:w="5353"/>
        <w:gridCol w:w="1834"/>
        <w:gridCol w:w="236"/>
        <w:gridCol w:w="1794"/>
      </w:tblGrid>
      <w:tr w:rsidR="00223B18" w:rsidRPr="006D0DA3" w:rsidTr="001B3690">
        <w:trPr>
          <w:trHeight w:val="657"/>
        </w:trPr>
        <w:tc>
          <w:tcPr>
            <w:tcW w:w="439"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tc>
        <w:tc>
          <w:tcPr>
            <w:tcW w:w="5353"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tc>
        <w:tc>
          <w:tcPr>
            <w:tcW w:w="1834" w:type="dxa"/>
            <w:shd w:val="clear" w:color="auto" w:fill="auto"/>
          </w:tcPr>
          <w:p w:rsidR="00D73597" w:rsidRPr="006D0DA3" w:rsidRDefault="004060E7" w:rsidP="00223B18">
            <w:pPr>
              <w:autoSpaceDE w:val="0"/>
              <w:autoSpaceDN w:val="0"/>
              <w:adjustRightInd w:val="0"/>
              <w:spacing w:after="0" w:line="240" w:lineRule="auto"/>
              <w:jc w:val="right"/>
              <w:rPr>
                <w:rFonts w:asciiTheme="minorHAnsi" w:hAnsiTheme="minorHAnsi" w:cstheme="minorHAnsi"/>
                <w:b/>
                <w:sz w:val="16"/>
                <w:szCs w:val="16"/>
              </w:rPr>
            </w:pPr>
            <w:r w:rsidRPr="006D0DA3">
              <w:rPr>
                <w:rFonts w:asciiTheme="minorHAnsi" w:hAnsiTheme="minorHAnsi" w:cstheme="minorHAnsi"/>
                <w:b/>
                <w:sz w:val="16"/>
                <w:szCs w:val="16"/>
              </w:rPr>
              <w:t xml:space="preserve">Current </w:t>
            </w:r>
          </w:p>
          <w:p w:rsidR="00223B18" w:rsidRPr="006D0DA3" w:rsidRDefault="00D73597" w:rsidP="00223B18">
            <w:pPr>
              <w:autoSpaceDE w:val="0"/>
              <w:autoSpaceDN w:val="0"/>
              <w:adjustRightInd w:val="0"/>
              <w:spacing w:after="0" w:line="240" w:lineRule="auto"/>
              <w:jc w:val="right"/>
              <w:rPr>
                <w:rFonts w:asciiTheme="minorHAnsi" w:hAnsiTheme="minorHAnsi" w:cstheme="minorHAnsi"/>
                <w:b/>
                <w:sz w:val="16"/>
                <w:szCs w:val="16"/>
              </w:rPr>
            </w:pPr>
            <w:r w:rsidRPr="006D0DA3">
              <w:rPr>
                <w:rFonts w:asciiTheme="minorHAnsi" w:hAnsiTheme="minorHAnsi" w:cstheme="minorHAnsi"/>
                <w:b/>
                <w:sz w:val="16"/>
                <w:szCs w:val="16"/>
              </w:rPr>
              <w:t>Q</w:t>
            </w:r>
            <w:r w:rsidR="00223B18" w:rsidRPr="006D0DA3">
              <w:rPr>
                <w:rFonts w:asciiTheme="minorHAnsi" w:hAnsiTheme="minorHAnsi" w:cstheme="minorHAnsi"/>
                <w:b/>
                <w:sz w:val="16"/>
                <w:szCs w:val="16"/>
              </w:rPr>
              <w:t>uarter</w:t>
            </w:r>
          </w:p>
          <w:p w:rsidR="00D73597" w:rsidRPr="006D0DA3" w:rsidRDefault="00D73597" w:rsidP="00223B18">
            <w:pPr>
              <w:autoSpaceDE w:val="0"/>
              <w:autoSpaceDN w:val="0"/>
              <w:adjustRightInd w:val="0"/>
              <w:spacing w:after="0" w:line="240" w:lineRule="auto"/>
              <w:jc w:val="right"/>
              <w:rPr>
                <w:rFonts w:asciiTheme="minorHAnsi" w:hAnsiTheme="minorHAnsi" w:cstheme="minorHAnsi"/>
                <w:b/>
                <w:sz w:val="16"/>
                <w:szCs w:val="16"/>
              </w:rPr>
            </w:pPr>
            <w:r w:rsidRPr="006D0DA3">
              <w:rPr>
                <w:rFonts w:asciiTheme="minorHAnsi" w:hAnsiTheme="minorHAnsi" w:cstheme="minorHAnsi"/>
                <w:b/>
                <w:sz w:val="16"/>
                <w:szCs w:val="16"/>
              </w:rPr>
              <w:t xml:space="preserve">Ended </w:t>
            </w:r>
          </w:p>
        </w:tc>
        <w:tc>
          <w:tcPr>
            <w:tcW w:w="236"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b/>
                <w:sz w:val="16"/>
                <w:szCs w:val="16"/>
              </w:rPr>
            </w:pPr>
          </w:p>
        </w:tc>
        <w:tc>
          <w:tcPr>
            <w:tcW w:w="1794" w:type="dxa"/>
          </w:tcPr>
          <w:p w:rsidR="00D73597" w:rsidRPr="006D0DA3" w:rsidRDefault="00D73597" w:rsidP="00DA5466">
            <w:pPr>
              <w:autoSpaceDE w:val="0"/>
              <w:autoSpaceDN w:val="0"/>
              <w:adjustRightInd w:val="0"/>
              <w:spacing w:after="0" w:line="240" w:lineRule="auto"/>
              <w:jc w:val="right"/>
              <w:rPr>
                <w:rFonts w:asciiTheme="minorHAnsi" w:hAnsiTheme="minorHAnsi" w:cstheme="minorHAnsi"/>
                <w:b/>
                <w:sz w:val="16"/>
                <w:szCs w:val="16"/>
              </w:rPr>
            </w:pPr>
          </w:p>
          <w:p w:rsidR="00223B18" w:rsidRPr="006D0DA3" w:rsidRDefault="001B3690" w:rsidP="00DA5466">
            <w:pPr>
              <w:autoSpaceDE w:val="0"/>
              <w:autoSpaceDN w:val="0"/>
              <w:adjustRightInd w:val="0"/>
              <w:spacing w:after="0" w:line="240" w:lineRule="auto"/>
              <w:jc w:val="right"/>
              <w:rPr>
                <w:rFonts w:asciiTheme="minorHAnsi" w:hAnsiTheme="minorHAnsi" w:cstheme="minorHAnsi"/>
                <w:b/>
                <w:sz w:val="16"/>
                <w:szCs w:val="16"/>
              </w:rPr>
            </w:pPr>
            <w:r>
              <w:rPr>
                <w:rFonts w:asciiTheme="minorHAnsi" w:hAnsiTheme="minorHAnsi" w:cstheme="minorHAnsi"/>
                <w:b/>
                <w:sz w:val="16"/>
                <w:szCs w:val="16"/>
              </w:rPr>
              <w:t>1</w:t>
            </w:r>
            <w:r w:rsidR="00FC3267">
              <w:rPr>
                <w:rFonts w:asciiTheme="minorHAnsi" w:hAnsiTheme="minorHAnsi" w:cstheme="minorHAnsi"/>
                <w:b/>
                <w:sz w:val="16"/>
                <w:szCs w:val="16"/>
              </w:rPr>
              <w:t>6</w:t>
            </w:r>
            <w:r w:rsidR="003C170D" w:rsidRPr="006D0DA3">
              <w:rPr>
                <w:rFonts w:asciiTheme="minorHAnsi" w:hAnsiTheme="minorHAnsi" w:cstheme="minorHAnsi"/>
                <w:b/>
                <w:sz w:val="16"/>
                <w:szCs w:val="16"/>
              </w:rPr>
              <w:t xml:space="preserve"> months</w:t>
            </w:r>
          </w:p>
          <w:p w:rsidR="003C170D" w:rsidRPr="006D0DA3" w:rsidRDefault="003C170D" w:rsidP="00DA5466">
            <w:pPr>
              <w:autoSpaceDE w:val="0"/>
              <w:autoSpaceDN w:val="0"/>
              <w:adjustRightInd w:val="0"/>
              <w:spacing w:after="0" w:line="240" w:lineRule="auto"/>
              <w:jc w:val="right"/>
              <w:rPr>
                <w:rFonts w:asciiTheme="minorHAnsi" w:hAnsiTheme="minorHAnsi" w:cstheme="minorHAnsi"/>
                <w:b/>
                <w:sz w:val="16"/>
                <w:szCs w:val="16"/>
              </w:rPr>
            </w:pPr>
            <w:r w:rsidRPr="006D0DA3">
              <w:rPr>
                <w:rFonts w:asciiTheme="minorHAnsi" w:hAnsiTheme="minorHAnsi" w:cstheme="minorHAnsi"/>
                <w:b/>
                <w:sz w:val="16"/>
                <w:szCs w:val="16"/>
              </w:rPr>
              <w:t>to date ended</w:t>
            </w:r>
          </w:p>
        </w:tc>
      </w:tr>
      <w:tr w:rsidR="00223B18" w:rsidRPr="006D0DA3" w:rsidTr="00CB49D3">
        <w:tc>
          <w:tcPr>
            <w:tcW w:w="439"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tc>
        <w:tc>
          <w:tcPr>
            <w:tcW w:w="5353"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tc>
        <w:tc>
          <w:tcPr>
            <w:tcW w:w="1834" w:type="dxa"/>
            <w:shd w:val="clear" w:color="auto" w:fill="auto"/>
          </w:tcPr>
          <w:p w:rsidR="00223B18" w:rsidRPr="006D0DA3" w:rsidRDefault="00A94CA5" w:rsidP="00FC3267">
            <w:pPr>
              <w:autoSpaceDE w:val="0"/>
              <w:autoSpaceDN w:val="0"/>
              <w:adjustRightInd w:val="0"/>
              <w:spacing w:after="0" w:line="240" w:lineRule="auto"/>
              <w:jc w:val="right"/>
              <w:rPr>
                <w:rFonts w:asciiTheme="minorHAnsi" w:hAnsiTheme="minorHAnsi" w:cstheme="minorHAnsi"/>
                <w:b/>
                <w:sz w:val="16"/>
                <w:szCs w:val="16"/>
              </w:rPr>
            </w:pPr>
            <w:r w:rsidRPr="006D0DA3">
              <w:rPr>
                <w:rFonts w:asciiTheme="minorHAnsi" w:hAnsiTheme="minorHAnsi" w:cstheme="minorHAnsi"/>
                <w:b/>
                <w:bCs/>
                <w:color w:val="000000"/>
                <w:sz w:val="16"/>
                <w:szCs w:val="16"/>
              </w:rPr>
              <w:t>3</w:t>
            </w:r>
            <w:r w:rsidR="00FC3267">
              <w:rPr>
                <w:rFonts w:asciiTheme="minorHAnsi" w:hAnsiTheme="minorHAnsi" w:cstheme="minorHAnsi"/>
                <w:b/>
                <w:bCs/>
                <w:color w:val="000000"/>
                <w:sz w:val="16"/>
                <w:szCs w:val="16"/>
              </w:rPr>
              <w:t>1 July</w:t>
            </w:r>
            <w:r w:rsidRPr="006D0DA3">
              <w:rPr>
                <w:rFonts w:asciiTheme="minorHAnsi" w:hAnsiTheme="minorHAnsi" w:cstheme="minorHAnsi"/>
                <w:b/>
                <w:bCs/>
                <w:color w:val="000000"/>
                <w:sz w:val="16"/>
                <w:szCs w:val="16"/>
              </w:rPr>
              <w:t xml:space="preserve"> </w:t>
            </w:r>
            <w:r w:rsidR="001E6FD5" w:rsidRPr="006D0DA3">
              <w:rPr>
                <w:rFonts w:asciiTheme="minorHAnsi" w:hAnsiTheme="minorHAnsi" w:cstheme="minorHAnsi"/>
                <w:b/>
                <w:sz w:val="16"/>
                <w:szCs w:val="16"/>
              </w:rPr>
              <w:t>201</w:t>
            </w:r>
            <w:r w:rsidR="001B3690">
              <w:rPr>
                <w:rFonts w:asciiTheme="minorHAnsi" w:hAnsiTheme="minorHAnsi" w:cstheme="minorHAnsi"/>
                <w:b/>
                <w:sz w:val="16"/>
                <w:szCs w:val="16"/>
              </w:rPr>
              <w:t>6</w:t>
            </w:r>
          </w:p>
        </w:tc>
        <w:tc>
          <w:tcPr>
            <w:tcW w:w="236"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b/>
                <w:sz w:val="16"/>
                <w:szCs w:val="16"/>
              </w:rPr>
            </w:pPr>
          </w:p>
        </w:tc>
        <w:tc>
          <w:tcPr>
            <w:tcW w:w="1794" w:type="dxa"/>
          </w:tcPr>
          <w:p w:rsidR="00223B18" w:rsidRPr="006D0DA3" w:rsidRDefault="00A94CA5" w:rsidP="00FC3267">
            <w:pPr>
              <w:autoSpaceDE w:val="0"/>
              <w:autoSpaceDN w:val="0"/>
              <w:adjustRightInd w:val="0"/>
              <w:spacing w:after="0" w:line="240" w:lineRule="auto"/>
              <w:jc w:val="right"/>
              <w:rPr>
                <w:rFonts w:asciiTheme="minorHAnsi" w:hAnsiTheme="minorHAnsi" w:cstheme="minorHAnsi"/>
                <w:b/>
                <w:sz w:val="16"/>
                <w:szCs w:val="16"/>
              </w:rPr>
            </w:pPr>
            <w:r w:rsidRPr="006D0DA3">
              <w:rPr>
                <w:rFonts w:asciiTheme="minorHAnsi" w:hAnsiTheme="minorHAnsi" w:cstheme="minorHAnsi"/>
                <w:b/>
                <w:bCs/>
                <w:color w:val="000000"/>
                <w:sz w:val="16"/>
                <w:szCs w:val="16"/>
              </w:rPr>
              <w:t>3</w:t>
            </w:r>
            <w:r w:rsidR="00FC3267">
              <w:rPr>
                <w:rFonts w:asciiTheme="minorHAnsi" w:hAnsiTheme="minorHAnsi" w:cstheme="minorHAnsi"/>
                <w:b/>
                <w:bCs/>
                <w:color w:val="000000"/>
                <w:sz w:val="16"/>
                <w:szCs w:val="16"/>
              </w:rPr>
              <w:t>1 July</w:t>
            </w:r>
            <w:r w:rsidRPr="006D0DA3">
              <w:rPr>
                <w:rFonts w:asciiTheme="minorHAnsi" w:hAnsiTheme="minorHAnsi" w:cstheme="minorHAnsi"/>
                <w:b/>
                <w:bCs/>
                <w:color w:val="000000"/>
                <w:sz w:val="16"/>
                <w:szCs w:val="16"/>
              </w:rPr>
              <w:t xml:space="preserve"> </w:t>
            </w:r>
            <w:r w:rsidR="001B3690" w:rsidRPr="006D0DA3">
              <w:rPr>
                <w:rFonts w:asciiTheme="minorHAnsi" w:hAnsiTheme="minorHAnsi" w:cstheme="minorHAnsi"/>
                <w:b/>
                <w:sz w:val="16"/>
                <w:szCs w:val="16"/>
              </w:rPr>
              <w:t>201</w:t>
            </w:r>
            <w:r w:rsidR="001B3690">
              <w:rPr>
                <w:rFonts w:asciiTheme="minorHAnsi" w:hAnsiTheme="minorHAnsi" w:cstheme="minorHAnsi"/>
                <w:b/>
                <w:sz w:val="16"/>
                <w:szCs w:val="16"/>
              </w:rPr>
              <w:t>6</w:t>
            </w:r>
          </w:p>
        </w:tc>
      </w:tr>
      <w:tr w:rsidR="00223B18" w:rsidRPr="006D0DA3" w:rsidTr="00CB49D3">
        <w:tc>
          <w:tcPr>
            <w:tcW w:w="439"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tc>
        <w:tc>
          <w:tcPr>
            <w:tcW w:w="5353"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tc>
        <w:tc>
          <w:tcPr>
            <w:tcW w:w="1834" w:type="dxa"/>
            <w:shd w:val="clear" w:color="auto" w:fill="auto"/>
          </w:tcPr>
          <w:p w:rsidR="00223B18" w:rsidRPr="006D0DA3" w:rsidRDefault="00223B18" w:rsidP="00223B18">
            <w:pPr>
              <w:autoSpaceDE w:val="0"/>
              <w:autoSpaceDN w:val="0"/>
              <w:adjustRightInd w:val="0"/>
              <w:spacing w:after="0" w:line="240" w:lineRule="auto"/>
              <w:jc w:val="right"/>
              <w:rPr>
                <w:rFonts w:asciiTheme="minorHAnsi" w:hAnsiTheme="minorHAnsi" w:cstheme="minorHAnsi"/>
                <w:b/>
                <w:sz w:val="16"/>
                <w:szCs w:val="16"/>
              </w:rPr>
            </w:pPr>
            <w:r w:rsidRPr="006D0DA3">
              <w:rPr>
                <w:rFonts w:asciiTheme="minorHAnsi" w:hAnsiTheme="minorHAnsi" w:cstheme="minorHAnsi"/>
                <w:b/>
                <w:sz w:val="16"/>
                <w:szCs w:val="16"/>
              </w:rPr>
              <w:t>RM’000</w:t>
            </w:r>
          </w:p>
        </w:tc>
        <w:tc>
          <w:tcPr>
            <w:tcW w:w="236"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b/>
                <w:sz w:val="16"/>
                <w:szCs w:val="16"/>
              </w:rPr>
            </w:pPr>
          </w:p>
        </w:tc>
        <w:tc>
          <w:tcPr>
            <w:tcW w:w="1794" w:type="dxa"/>
          </w:tcPr>
          <w:p w:rsidR="00223B18" w:rsidRPr="006D0DA3" w:rsidRDefault="00223B18" w:rsidP="00223B18">
            <w:pPr>
              <w:autoSpaceDE w:val="0"/>
              <w:autoSpaceDN w:val="0"/>
              <w:adjustRightInd w:val="0"/>
              <w:spacing w:after="0" w:line="240" w:lineRule="auto"/>
              <w:jc w:val="right"/>
              <w:rPr>
                <w:rFonts w:asciiTheme="minorHAnsi" w:hAnsiTheme="minorHAnsi" w:cstheme="minorHAnsi"/>
                <w:b/>
                <w:sz w:val="16"/>
                <w:szCs w:val="16"/>
              </w:rPr>
            </w:pPr>
            <w:r w:rsidRPr="006D0DA3">
              <w:rPr>
                <w:rFonts w:asciiTheme="minorHAnsi" w:hAnsiTheme="minorHAnsi" w:cstheme="minorHAnsi"/>
                <w:b/>
                <w:sz w:val="16"/>
                <w:szCs w:val="16"/>
              </w:rPr>
              <w:t>RM’000</w:t>
            </w:r>
          </w:p>
        </w:tc>
      </w:tr>
      <w:tr w:rsidR="00223B18" w:rsidRPr="006D0DA3" w:rsidTr="00CB49D3">
        <w:tc>
          <w:tcPr>
            <w:tcW w:w="439"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tc>
        <w:tc>
          <w:tcPr>
            <w:tcW w:w="5353"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tc>
        <w:tc>
          <w:tcPr>
            <w:tcW w:w="1834" w:type="dxa"/>
            <w:shd w:val="clear" w:color="auto" w:fill="auto"/>
          </w:tcPr>
          <w:p w:rsidR="00223B18" w:rsidRPr="006D0DA3" w:rsidRDefault="00223B18" w:rsidP="00223B18">
            <w:pPr>
              <w:autoSpaceDE w:val="0"/>
              <w:autoSpaceDN w:val="0"/>
              <w:adjustRightInd w:val="0"/>
              <w:spacing w:after="0" w:line="240" w:lineRule="auto"/>
              <w:jc w:val="right"/>
              <w:rPr>
                <w:rFonts w:asciiTheme="minorHAnsi" w:hAnsiTheme="minorHAnsi" w:cstheme="minorHAnsi"/>
                <w:sz w:val="16"/>
                <w:szCs w:val="16"/>
              </w:rPr>
            </w:pPr>
          </w:p>
        </w:tc>
        <w:tc>
          <w:tcPr>
            <w:tcW w:w="236" w:type="dxa"/>
          </w:tcPr>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tc>
        <w:tc>
          <w:tcPr>
            <w:tcW w:w="1794" w:type="dxa"/>
          </w:tcPr>
          <w:p w:rsidR="00223B18" w:rsidRPr="006D0DA3" w:rsidRDefault="00223B18" w:rsidP="00223B18">
            <w:pPr>
              <w:autoSpaceDE w:val="0"/>
              <w:autoSpaceDN w:val="0"/>
              <w:adjustRightInd w:val="0"/>
              <w:spacing w:after="0" w:line="240" w:lineRule="auto"/>
              <w:jc w:val="right"/>
              <w:rPr>
                <w:rFonts w:asciiTheme="minorHAnsi" w:hAnsiTheme="minorHAnsi" w:cstheme="minorHAnsi"/>
                <w:sz w:val="16"/>
                <w:szCs w:val="16"/>
              </w:rPr>
            </w:pPr>
          </w:p>
        </w:tc>
      </w:tr>
      <w:tr w:rsidR="00223B18" w:rsidRPr="006D0DA3" w:rsidTr="00CB49D3">
        <w:tc>
          <w:tcPr>
            <w:tcW w:w="439" w:type="dxa"/>
          </w:tcPr>
          <w:p w:rsidR="00223B18" w:rsidRPr="006D0DA3" w:rsidRDefault="00223B18" w:rsidP="004B0FF4">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w:t>
            </w:r>
            <w:r w:rsidR="0055227A" w:rsidRPr="006D0DA3">
              <w:rPr>
                <w:rFonts w:asciiTheme="minorHAnsi" w:hAnsiTheme="minorHAnsi" w:cstheme="minorHAnsi"/>
                <w:sz w:val="16"/>
                <w:szCs w:val="16"/>
              </w:rPr>
              <w:t>a</w:t>
            </w:r>
            <w:r w:rsidRPr="006D0DA3">
              <w:rPr>
                <w:rFonts w:asciiTheme="minorHAnsi" w:hAnsiTheme="minorHAnsi" w:cstheme="minorHAnsi"/>
                <w:sz w:val="16"/>
                <w:szCs w:val="16"/>
              </w:rPr>
              <w:t>)</w:t>
            </w:r>
          </w:p>
        </w:tc>
        <w:tc>
          <w:tcPr>
            <w:tcW w:w="5353" w:type="dxa"/>
          </w:tcPr>
          <w:p w:rsidR="00223B18" w:rsidRPr="006D0DA3" w:rsidRDefault="00223B18" w:rsidP="00223B18">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Depreciation and amortisation</w:t>
            </w:r>
          </w:p>
        </w:tc>
        <w:tc>
          <w:tcPr>
            <w:tcW w:w="1834" w:type="dxa"/>
            <w:shd w:val="clear" w:color="auto" w:fill="auto"/>
          </w:tcPr>
          <w:p w:rsidR="00223B18" w:rsidRPr="006D0DA3" w:rsidRDefault="008628B4" w:rsidP="005B53AF">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141</w:t>
            </w:r>
          </w:p>
        </w:tc>
        <w:tc>
          <w:tcPr>
            <w:tcW w:w="236" w:type="dxa"/>
          </w:tcPr>
          <w:p w:rsidR="00223B18" w:rsidRPr="006D0DA3" w:rsidRDefault="00223B18" w:rsidP="00223B18">
            <w:pPr>
              <w:autoSpaceDE w:val="0"/>
              <w:autoSpaceDN w:val="0"/>
              <w:adjustRightInd w:val="0"/>
              <w:spacing w:before="40" w:after="40" w:line="240" w:lineRule="auto"/>
              <w:jc w:val="both"/>
              <w:rPr>
                <w:rFonts w:asciiTheme="minorHAnsi" w:hAnsiTheme="minorHAnsi" w:cstheme="minorHAnsi"/>
                <w:sz w:val="16"/>
                <w:szCs w:val="16"/>
              </w:rPr>
            </w:pPr>
          </w:p>
        </w:tc>
        <w:tc>
          <w:tcPr>
            <w:tcW w:w="1794" w:type="dxa"/>
          </w:tcPr>
          <w:p w:rsidR="00223B18" w:rsidRPr="006D0DA3" w:rsidRDefault="008628B4" w:rsidP="008628B4">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2,</w:t>
            </w:r>
            <w:r w:rsidR="00AF6119">
              <w:rPr>
                <w:rFonts w:asciiTheme="minorHAnsi" w:hAnsiTheme="minorHAnsi" w:cstheme="minorHAnsi"/>
                <w:sz w:val="16"/>
                <w:szCs w:val="16"/>
              </w:rPr>
              <w:t>2</w:t>
            </w:r>
            <w:r>
              <w:rPr>
                <w:rFonts w:asciiTheme="minorHAnsi" w:hAnsiTheme="minorHAnsi" w:cstheme="minorHAnsi"/>
                <w:sz w:val="16"/>
                <w:szCs w:val="16"/>
              </w:rPr>
              <w:t>69</w:t>
            </w:r>
          </w:p>
        </w:tc>
      </w:tr>
      <w:tr w:rsidR="00223B18" w:rsidRPr="006D0DA3" w:rsidTr="00CB49D3">
        <w:tc>
          <w:tcPr>
            <w:tcW w:w="439" w:type="dxa"/>
          </w:tcPr>
          <w:p w:rsidR="00223B18" w:rsidRPr="006D0DA3" w:rsidRDefault="00223B18" w:rsidP="004B0FF4">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w:t>
            </w:r>
            <w:r w:rsidR="0055227A" w:rsidRPr="006D0DA3">
              <w:rPr>
                <w:rFonts w:asciiTheme="minorHAnsi" w:hAnsiTheme="minorHAnsi" w:cstheme="minorHAnsi"/>
                <w:sz w:val="16"/>
                <w:szCs w:val="16"/>
              </w:rPr>
              <w:t>b</w:t>
            </w:r>
            <w:r w:rsidRPr="006D0DA3">
              <w:rPr>
                <w:rFonts w:asciiTheme="minorHAnsi" w:hAnsiTheme="minorHAnsi" w:cstheme="minorHAnsi"/>
                <w:sz w:val="16"/>
                <w:szCs w:val="16"/>
              </w:rPr>
              <w:t>)</w:t>
            </w:r>
          </w:p>
        </w:tc>
        <w:tc>
          <w:tcPr>
            <w:tcW w:w="5353" w:type="dxa"/>
          </w:tcPr>
          <w:p w:rsidR="00223B18" w:rsidRPr="006D0DA3" w:rsidRDefault="001A1102" w:rsidP="001A1102">
            <w:pPr>
              <w:autoSpaceDE w:val="0"/>
              <w:autoSpaceDN w:val="0"/>
              <w:adjustRightInd w:val="0"/>
              <w:spacing w:before="40" w:after="40" w:line="240" w:lineRule="auto"/>
              <w:jc w:val="both"/>
              <w:rPr>
                <w:rFonts w:asciiTheme="minorHAnsi" w:hAnsiTheme="minorHAnsi" w:cstheme="minorHAnsi"/>
                <w:sz w:val="16"/>
                <w:szCs w:val="16"/>
              </w:rPr>
            </w:pPr>
            <w:r>
              <w:rPr>
                <w:rFonts w:asciiTheme="minorHAnsi" w:hAnsiTheme="minorHAnsi" w:cstheme="minorHAnsi"/>
                <w:sz w:val="16"/>
                <w:szCs w:val="16"/>
              </w:rPr>
              <w:t>Gain</w:t>
            </w:r>
            <w:r w:rsidR="00241192">
              <w:rPr>
                <w:rFonts w:asciiTheme="minorHAnsi" w:hAnsiTheme="minorHAnsi" w:cstheme="minorHAnsi"/>
                <w:sz w:val="16"/>
                <w:szCs w:val="16"/>
              </w:rPr>
              <w:t xml:space="preserve">/ loss </w:t>
            </w:r>
            <w:r>
              <w:rPr>
                <w:rFonts w:asciiTheme="minorHAnsi" w:hAnsiTheme="minorHAnsi" w:cstheme="minorHAnsi"/>
                <w:sz w:val="16"/>
                <w:szCs w:val="16"/>
              </w:rPr>
              <w:t xml:space="preserve"> </w:t>
            </w:r>
            <w:r w:rsidR="00223B18" w:rsidRPr="006D0DA3">
              <w:rPr>
                <w:rFonts w:asciiTheme="minorHAnsi" w:hAnsiTheme="minorHAnsi" w:cstheme="minorHAnsi"/>
                <w:sz w:val="16"/>
                <w:szCs w:val="16"/>
              </w:rPr>
              <w:t>on disposal of properties</w:t>
            </w:r>
            <w:r w:rsidR="00595883" w:rsidRPr="006D0DA3">
              <w:rPr>
                <w:rFonts w:asciiTheme="minorHAnsi" w:hAnsiTheme="minorHAnsi" w:cstheme="minorHAnsi"/>
                <w:sz w:val="16"/>
                <w:szCs w:val="16"/>
              </w:rPr>
              <w:t>, plant and equipment</w:t>
            </w:r>
          </w:p>
        </w:tc>
        <w:tc>
          <w:tcPr>
            <w:tcW w:w="1834" w:type="dxa"/>
            <w:shd w:val="clear" w:color="auto" w:fill="auto"/>
          </w:tcPr>
          <w:p w:rsidR="00223B18" w:rsidRPr="006D0DA3" w:rsidRDefault="00DE0940" w:rsidP="00AF6119">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w:t>
            </w:r>
          </w:p>
        </w:tc>
        <w:tc>
          <w:tcPr>
            <w:tcW w:w="236" w:type="dxa"/>
          </w:tcPr>
          <w:p w:rsidR="00223B18" w:rsidRPr="006D0DA3" w:rsidRDefault="00223B18" w:rsidP="00223B18">
            <w:pPr>
              <w:autoSpaceDE w:val="0"/>
              <w:autoSpaceDN w:val="0"/>
              <w:adjustRightInd w:val="0"/>
              <w:spacing w:before="40" w:after="40" w:line="240" w:lineRule="auto"/>
              <w:jc w:val="both"/>
              <w:rPr>
                <w:rFonts w:asciiTheme="minorHAnsi" w:hAnsiTheme="minorHAnsi" w:cstheme="minorHAnsi"/>
                <w:sz w:val="16"/>
                <w:szCs w:val="16"/>
              </w:rPr>
            </w:pPr>
          </w:p>
        </w:tc>
        <w:tc>
          <w:tcPr>
            <w:tcW w:w="1794" w:type="dxa"/>
          </w:tcPr>
          <w:p w:rsidR="00223B18" w:rsidRPr="006D0DA3" w:rsidRDefault="001A1102" w:rsidP="00AF6119">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w:t>
            </w:r>
            <w:r w:rsidR="00AF6119">
              <w:rPr>
                <w:rFonts w:asciiTheme="minorHAnsi" w:hAnsiTheme="minorHAnsi" w:cstheme="minorHAnsi"/>
                <w:sz w:val="16"/>
                <w:szCs w:val="16"/>
              </w:rPr>
              <w:t>292</w:t>
            </w:r>
            <w:r>
              <w:rPr>
                <w:rFonts w:asciiTheme="minorHAnsi" w:hAnsiTheme="minorHAnsi" w:cstheme="minorHAnsi"/>
                <w:sz w:val="16"/>
                <w:szCs w:val="16"/>
              </w:rPr>
              <w:t>)</w:t>
            </w:r>
          </w:p>
        </w:tc>
      </w:tr>
      <w:tr w:rsidR="00223B18" w:rsidRPr="006D0DA3" w:rsidTr="00CB49D3">
        <w:tc>
          <w:tcPr>
            <w:tcW w:w="439" w:type="dxa"/>
          </w:tcPr>
          <w:p w:rsidR="00223B18" w:rsidRPr="006D0DA3" w:rsidRDefault="00223B18" w:rsidP="004B0FF4">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w:t>
            </w:r>
            <w:r w:rsidR="0055227A" w:rsidRPr="006D0DA3">
              <w:rPr>
                <w:rFonts w:asciiTheme="minorHAnsi" w:hAnsiTheme="minorHAnsi" w:cstheme="minorHAnsi"/>
                <w:sz w:val="16"/>
                <w:szCs w:val="16"/>
              </w:rPr>
              <w:t>c</w:t>
            </w:r>
            <w:r w:rsidRPr="006D0DA3">
              <w:rPr>
                <w:rFonts w:asciiTheme="minorHAnsi" w:hAnsiTheme="minorHAnsi" w:cstheme="minorHAnsi"/>
                <w:sz w:val="16"/>
                <w:szCs w:val="16"/>
              </w:rPr>
              <w:t>)</w:t>
            </w:r>
          </w:p>
        </w:tc>
        <w:tc>
          <w:tcPr>
            <w:tcW w:w="5353" w:type="dxa"/>
          </w:tcPr>
          <w:p w:rsidR="0055227A" w:rsidRPr="006D0DA3" w:rsidRDefault="0055227A" w:rsidP="00090813">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Allowance for impairment on trade receivables</w:t>
            </w:r>
          </w:p>
        </w:tc>
        <w:tc>
          <w:tcPr>
            <w:tcW w:w="1834" w:type="dxa"/>
            <w:shd w:val="clear" w:color="auto" w:fill="auto"/>
          </w:tcPr>
          <w:p w:rsidR="00223B18" w:rsidRPr="006D0DA3" w:rsidRDefault="00AF6119" w:rsidP="00310BB6">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w:t>
            </w:r>
          </w:p>
        </w:tc>
        <w:tc>
          <w:tcPr>
            <w:tcW w:w="236" w:type="dxa"/>
          </w:tcPr>
          <w:p w:rsidR="00223B18" w:rsidRPr="006D0DA3" w:rsidRDefault="00223B18" w:rsidP="00223B18">
            <w:pPr>
              <w:autoSpaceDE w:val="0"/>
              <w:autoSpaceDN w:val="0"/>
              <w:adjustRightInd w:val="0"/>
              <w:spacing w:before="40" w:after="40" w:line="240" w:lineRule="auto"/>
              <w:jc w:val="both"/>
              <w:rPr>
                <w:rFonts w:asciiTheme="minorHAnsi" w:hAnsiTheme="minorHAnsi" w:cstheme="minorHAnsi"/>
                <w:sz w:val="16"/>
                <w:szCs w:val="16"/>
              </w:rPr>
            </w:pPr>
          </w:p>
        </w:tc>
        <w:tc>
          <w:tcPr>
            <w:tcW w:w="1794" w:type="dxa"/>
          </w:tcPr>
          <w:p w:rsidR="00223B18" w:rsidRPr="006D0DA3" w:rsidRDefault="006B015B" w:rsidP="004C0CD4">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810</w:t>
            </w:r>
          </w:p>
        </w:tc>
      </w:tr>
      <w:tr w:rsidR="004C0CD4" w:rsidRPr="006D0DA3" w:rsidTr="00CB49D3">
        <w:tc>
          <w:tcPr>
            <w:tcW w:w="439" w:type="dxa"/>
          </w:tcPr>
          <w:p w:rsidR="004C0CD4" w:rsidRPr="006D0DA3" w:rsidRDefault="004C0CD4" w:rsidP="004C0CD4">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w:t>
            </w:r>
            <w:r>
              <w:rPr>
                <w:rFonts w:asciiTheme="minorHAnsi" w:hAnsiTheme="minorHAnsi" w:cstheme="minorHAnsi"/>
                <w:sz w:val="16"/>
                <w:szCs w:val="16"/>
              </w:rPr>
              <w:t>d</w:t>
            </w:r>
            <w:r w:rsidRPr="006D0DA3">
              <w:rPr>
                <w:rFonts w:asciiTheme="minorHAnsi" w:hAnsiTheme="minorHAnsi" w:cstheme="minorHAnsi"/>
                <w:sz w:val="16"/>
                <w:szCs w:val="16"/>
              </w:rPr>
              <w:t>)</w:t>
            </w:r>
          </w:p>
        </w:tc>
        <w:tc>
          <w:tcPr>
            <w:tcW w:w="5353" w:type="dxa"/>
          </w:tcPr>
          <w:p w:rsidR="004C0CD4" w:rsidRPr="006D0DA3" w:rsidRDefault="004C0CD4" w:rsidP="004C0CD4">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 xml:space="preserve">Allowance for impairment on </w:t>
            </w:r>
            <w:r>
              <w:rPr>
                <w:rFonts w:asciiTheme="minorHAnsi" w:hAnsiTheme="minorHAnsi" w:cstheme="minorHAnsi"/>
                <w:sz w:val="16"/>
                <w:szCs w:val="16"/>
              </w:rPr>
              <w:t>other</w:t>
            </w:r>
            <w:r w:rsidRPr="006D0DA3">
              <w:rPr>
                <w:rFonts w:asciiTheme="minorHAnsi" w:hAnsiTheme="minorHAnsi" w:cstheme="minorHAnsi"/>
                <w:sz w:val="16"/>
                <w:szCs w:val="16"/>
              </w:rPr>
              <w:t xml:space="preserve"> receivables</w:t>
            </w:r>
          </w:p>
        </w:tc>
        <w:tc>
          <w:tcPr>
            <w:tcW w:w="1834" w:type="dxa"/>
            <w:shd w:val="clear" w:color="auto" w:fill="auto"/>
          </w:tcPr>
          <w:p w:rsidR="004C0CD4" w:rsidRPr="006D0DA3" w:rsidRDefault="00AF6119" w:rsidP="004C0CD4">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w:t>
            </w:r>
          </w:p>
        </w:tc>
        <w:tc>
          <w:tcPr>
            <w:tcW w:w="236" w:type="dxa"/>
          </w:tcPr>
          <w:p w:rsidR="004C0CD4" w:rsidRPr="006D0DA3" w:rsidRDefault="004C0CD4" w:rsidP="004C0CD4">
            <w:pPr>
              <w:autoSpaceDE w:val="0"/>
              <w:autoSpaceDN w:val="0"/>
              <w:adjustRightInd w:val="0"/>
              <w:spacing w:before="40" w:after="40" w:line="240" w:lineRule="auto"/>
              <w:jc w:val="both"/>
              <w:rPr>
                <w:rFonts w:asciiTheme="minorHAnsi" w:hAnsiTheme="minorHAnsi" w:cstheme="minorHAnsi"/>
                <w:sz w:val="16"/>
                <w:szCs w:val="16"/>
              </w:rPr>
            </w:pPr>
          </w:p>
        </w:tc>
        <w:tc>
          <w:tcPr>
            <w:tcW w:w="1794" w:type="dxa"/>
          </w:tcPr>
          <w:p w:rsidR="004C0CD4" w:rsidRPr="006D0DA3" w:rsidRDefault="004C0CD4" w:rsidP="004C0CD4">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393</w:t>
            </w:r>
          </w:p>
        </w:tc>
      </w:tr>
      <w:tr w:rsidR="00595883" w:rsidRPr="006D0DA3" w:rsidTr="00CB49D3">
        <w:tc>
          <w:tcPr>
            <w:tcW w:w="439" w:type="dxa"/>
          </w:tcPr>
          <w:p w:rsidR="00595883" w:rsidRPr="006D0DA3" w:rsidRDefault="00595883" w:rsidP="004C0CD4">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w:t>
            </w:r>
            <w:r w:rsidR="004C0CD4">
              <w:rPr>
                <w:rFonts w:asciiTheme="minorHAnsi" w:hAnsiTheme="minorHAnsi" w:cstheme="minorHAnsi"/>
                <w:sz w:val="16"/>
                <w:szCs w:val="16"/>
              </w:rPr>
              <w:t>e</w:t>
            </w:r>
            <w:r w:rsidRPr="006D0DA3">
              <w:rPr>
                <w:rFonts w:asciiTheme="minorHAnsi" w:hAnsiTheme="minorHAnsi" w:cstheme="minorHAnsi"/>
                <w:sz w:val="16"/>
                <w:szCs w:val="16"/>
              </w:rPr>
              <w:t>)</w:t>
            </w:r>
          </w:p>
        </w:tc>
        <w:tc>
          <w:tcPr>
            <w:tcW w:w="5353" w:type="dxa"/>
          </w:tcPr>
          <w:p w:rsidR="00595883" w:rsidRPr="006D0DA3" w:rsidRDefault="0055227A" w:rsidP="00595883">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color w:val="000000"/>
                <w:sz w:val="16"/>
                <w:szCs w:val="16"/>
              </w:rPr>
              <w:t xml:space="preserve">Share-based compensation pursuant </w:t>
            </w:r>
            <w:r w:rsidR="0010547F" w:rsidRPr="006D0DA3">
              <w:rPr>
                <w:rFonts w:asciiTheme="minorHAnsi" w:hAnsiTheme="minorHAnsi" w:cstheme="minorHAnsi"/>
                <w:color w:val="000000"/>
                <w:sz w:val="16"/>
                <w:szCs w:val="16"/>
              </w:rPr>
              <w:t xml:space="preserve">to option </w:t>
            </w:r>
            <w:r w:rsidRPr="006D0DA3">
              <w:rPr>
                <w:rFonts w:asciiTheme="minorHAnsi" w:hAnsiTheme="minorHAnsi" w:cstheme="minorHAnsi"/>
                <w:color w:val="000000"/>
                <w:sz w:val="16"/>
                <w:szCs w:val="16"/>
              </w:rPr>
              <w:t>granted</w:t>
            </w:r>
            <w:r w:rsidR="0010547F" w:rsidRPr="006D0DA3">
              <w:rPr>
                <w:rFonts w:asciiTheme="minorHAnsi" w:hAnsiTheme="minorHAnsi" w:cstheme="minorHAnsi"/>
                <w:color w:val="000000"/>
                <w:sz w:val="16"/>
                <w:szCs w:val="16"/>
              </w:rPr>
              <w:t xml:space="preserve"> under the</w:t>
            </w:r>
            <w:r w:rsidR="001B3690">
              <w:rPr>
                <w:rFonts w:asciiTheme="minorHAnsi" w:hAnsiTheme="minorHAnsi" w:cstheme="minorHAnsi"/>
                <w:color w:val="000000"/>
                <w:sz w:val="16"/>
                <w:szCs w:val="16"/>
              </w:rPr>
              <w:t xml:space="preserve"> </w:t>
            </w:r>
            <w:r w:rsidR="0010547F" w:rsidRPr="006D0DA3">
              <w:rPr>
                <w:rFonts w:asciiTheme="minorHAnsi" w:hAnsiTheme="minorHAnsi" w:cstheme="minorHAnsi"/>
                <w:color w:val="000000"/>
                <w:sz w:val="16"/>
                <w:szCs w:val="16"/>
              </w:rPr>
              <w:t xml:space="preserve"> SIS</w:t>
            </w:r>
          </w:p>
        </w:tc>
        <w:tc>
          <w:tcPr>
            <w:tcW w:w="1834" w:type="dxa"/>
            <w:shd w:val="clear" w:color="auto" w:fill="auto"/>
          </w:tcPr>
          <w:p w:rsidR="00595883" w:rsidRPr="006D0DA3" w:rsidRDefault="006E21B2" w:rsidP="00DC7E32">
            <w:pPr>
              <w:autoSpaceDE w:val="0"/>
              <w:autoSpaceDN w:val="0"/>
              <w:adjustRightInd w:val="0"/>
              <w:spacing w:before="40" w:after="40" w:line="240" w:lineRule="auto"/>
              <w:jc w:val="right"/>
              <w:rPr>
                <w:rFonts w:asciiTheme="minorHAnsi" w:hAnsiTheme="minorHAnsi" w:cstheme="minorHAnsi"/>
                <w:sz w:val="16"/>
                <w:szCs w:val="16"/>
              </w:rPr>
            </w:pPr>
            <w:r w:rsidRPr="006D0DA3">
              <w:rPr>
                <w:rFonts w:asciiTheme="minorHAnsi" w:hAnsiTheme="minorHAnsi" w:cstheme="minorHAnsi"/>
                <w:sz w:val="16"/>
                <w:szCs w:val="16"/>
              </w:rPr>
              <w:t>-</w:t>
            </w:r>
          </w:p>
        </w:tc>
        <w:tc>
          <w:tcPr>
            <w:tcW w:w="236" w:type="dxa"/>
          </w:tcPr>
          <w:p w:rsidR="00595883" w:rsidRPr="006D0DA3" w:rsidRDefault="00595883" w:rsidP="00223B18">
            <w:pPr>
              <w:autoSpaceDE w:val="0"/>
              <w:autoSpaceDN w:val="0"/>
              <w:adjustRightInd w:val="0"/>
              <w:spacing w:before="40" w:after="40" w:line="240" w:lineRule="auto"/>
              <w:jc w:val="both"/>
              <w:rPr>
                <w:rFonts w:asciiTheme="minorHAnsi" w:hAnsiTheme="minorHAnsi" w:cstheme="minorHAnsi"/>
                <w:sz w:val="16"/>
                <w:szCs w:val="16"/>
              </w:rPr>
            </w:pPr>
          </w:p>
        </w:tc>
        <w:tc>
          <w:tcPr>
            <w:tcW w:w="1794" w:type="dxa"/>
          </w:tcPr>
          <w:p w:rsidR="00595883" w:rsidRPr="006D0DA3" w:rsidRDefault="00C06E49" w:rsidP="00DC7E32">
            <w:pPr>
              <w:autoSpaceDE w:val="0"/>
              <w:autoSpaceDN w:val="0"/>
              <w:adjustRightInd w:val="0"/>
              <w:spacing w:before="40" w:after="40" w:line="240" w:lineRule="auto"/>
              <w:jc w:val="right"/>
              <w:rPr>
                <w:rFonts w:asciiTheme="minorHAnsi" w:hAnsiTheme="minorHAnsi" w:cstheme="minorHAnsi"/>
                <w:sz w:val="16"/>
                <w:szCs w:val="16"/>
              </w:rPr>
            </w:pPr>
            <w:r w:rsidRPr="006D0DA3">
              <w:rPr>
                <w:rFonts w:asciiTheme="minorHAnsi" w:hAnsiTheme="minorHAnsi" w:cstheme="minorHAnsi"/>
                <w:sz w:val="16"/>
                <w:szCs w:val="16"/>
              </w:rPr>
              <w:t>6,537</w:t>
            </w:r>
          </w:p>
        </w:tc>
      </w:tr>
      <w:tr w:rsidR="00223B18" w:rsidRPr="006D0DA3" w:rsidTr="00CB49D3">
        <w:tc>
          <w:tcPr>
            <w:tcW w:w="439" w:type="dxa"/>
          </w:tcPr>
          <w:p w:rsidR="00223B18" w:rsidRPr="006D0DA3" w:rsidRDefault="00223B18" w:rsidP="004C0CD4">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w:t>
            </w:r>
            <w:r w:rsidR="004C0CD4">
              <w:rPr>
                <w:rFonts w:asciiTheme="minorHAnsi" w:hAnsiTheme="minorHAnsi" w:cstheme="minorHAnsi"/>
                <w:sz w:val="16"/>
                <w:szCs w:val="16"/>
              </w:rPr>
              <w:t>f</w:t>
            </w:r>
            <w:r w:rsidRPr="006D0DA3">
              <w:rPr>
                <w:rFonts w:asciiTheme="minorHAnsi" w:hAnsiTheme="minorHAnsi" w:cstheme="minorHAnsi"/>
                <w:sz w:val="16"/>
                <w:szCs w:val="16"/>
              </w:rPr>
              <w:t>)</w:t>
            </w:r>
          </w:p>
        </w:tc>
        <w:tc>
          <w:tcPr>
            <w:tcW w:w="5353" w:type="dxa"/>
          </w:tcPr>
          <w:p w:rsidR="00223B18" w:rsidRPr="006D0DA3" w:rsidRDefault="007648B0" w:rsidP="00223B18">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Unrealised f</w:t>
            </w:r>
            <w:r w:rsidR="0055227A" w:rsidRPr="006D0DA3">
              <w:rPr>
                <w:rFonts w:asciiTheme="minorHAnsi" w:hAnsiTheme="minorHAnsi" w:cstheme="minorHAnsi"/>
                <w:sz w:val="16"/>
                <w:szCs w:val="16"/>
              </w:rPr>
              <w:t>oreign exchange gain</w:t>
            </w:r>
          </w:p>
        </w:tc>
        <w:tc>
          <w:tcPr>
            <w:tcW w:w="1834" w:type="dxa"/>
            <w:shd w:val="clear" w:color="auto" w:fill="auto"/>
          </w:tcPr>
          <w:p w:rsidR="00223B18" w:rsidRPr="006D0DA3" w:rsidRDefault="001A1102" w:rsidP="00223B18">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w:t>
            </w:r>
          </w:p>
        </w:tc>
        <w:tc>
          <w:tcPr>
            <w:tcW w:w="236" w:type="dxa"/>
          </w:tcPr>
          <w:p w:rsidR="00223B18" w:rsidRPr="006D0DA3" w:rsidRDefault="00223B18" w:rsidP="00223B18">
            <w:pPr>
              <w:autoSpaceDE w:val="0"/>
              <w:autoSpaceDN w:val="0"/>
              <w:adjustRightInd w:val="0"/>
              <w:spacing w:before="40" w:after="40" w:line="240" w:lineRule="auto"/>
              <w:jc w:val="both"/>
              <w:rPr>
                <w:rFonts w:asciiTheme="minorHAnsi" w:hAnsiTheme="minorHAnsi" w:cstheme="minorHAnsi"/>
                <w:sz w:val="16"/>
                <w:szCs w:val="16"/>
              </w:rPr>
            </w:pPr>
          </w:p>
        </w:tc>
        <w:tc>
          <w:tcPr>
            <w:tcW w:w="1794" w:type="dxa"/>
          </w:tcPr>
          <w:p w:rsidR="00223B18" w:rsidRPr="006D0DA3" w:rsidRDefault="00CB49D3" w:rsidP="005B53AF">
            <w:pPr>
              <w:autoSpaceDE w:val="0"/>
              <w:autoSpaceDN w:val="0"/>
              <w:adjustRightInd w:val="0"/>
              <w:spacing w:before="40" w:after="40" w:line="240" w:lineRule="auto"/>
              <w:jc w:val="right"/>
              <w:rPr>
                <w:rFonts w:asciiTheme="minorHAnsi" w:hAnsiTheme="minorHAnsi" w:cstheme="minorHAnsi"/>
                <w:sz w:val="16"/>
                <w:szCs w:val="16"/>
              </w:rPr>
            </w:pPr>
            <w:r w:rsidRPr="006D0DA3">
              <w:rPr>
                <w:rFonts w:asciiTheme="minorHAnsi" w:hAnsiTheme="minorHAnsi" w:cstheme="minorHAnsi"/>
                <w:color w:val="000000"/>
                <w:sz w:val="16"/>
                <w:szCs w:val="16"/>
              </w:rPr>
              <w:t>(</w:t>
            </w:r>
            <w:r w:rsidR="005B53AF">
              <w:rPr>
                <w:rFonts w:asciiTheme="minorHAnsi" w:hAnsiTheme="minorHAnsi" w:cstheme="minorHAnsi"/>
                <w:color w:val="000000"/>
                <w:sz w:val="16"/>
                <w:szCs w:val="16"/>
              </w:rPr>
              <w:t>246</w:t>
            </w:r>
            <w:r w:rsidRPr="006D0DA3">
              <w:rPr>
                <w:rFonts w:asciiTheme="minorHAnsi" w:hAnsiTheme="minorHAnsi" w:cstheme="minorHAnsi"/>
                <w:color w:val="000000"/>
                <w:sz w:val="16"/>
                <w:szCs w:val="16"/>
              </w:rPr>
              <w:t>)</w:t>
            </w:r>
          </w:p>
        </w:tc>
      </w:tr>
      <w:tr w:rsidR="007648B0" w:rsidRPr="006D0DA3" w:rsidTr="00CB49D3">
        <w:tc>
          <w:tcPr>
            <w:tcW w:w="439" w:type="dxa"/>
          </w:tcPr>
          <w:p w:rsidR="007648B0" w:rsidRPr="006D0DA3" w:rsidRDefault="007648B0" w:rsidP="004C0CD4">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w:t>
            </w:r>
            <w:r w:rsidR="004C0CD4">
              <w:rPr>
                <w:rFonts w:asciiTheme="minorHAnsi" w:hAnsiTheme="minorHAnsi" w:cstheme="minorHAnsi"/>
                <w:sz w:val="16"/>
                <w:szCs w:val="16"/>
              </w:rPr>
              <w:t>g</w:t>
            </w:r>
            <w:r w:rsidRPr="006D0DA3">
              <w:rPr>
                <w:rFonts w:asciiTheme="minorHAnsi" w:hAnsiTheme="minorHAnsi" w:cstheme="minorHAnsi"/>
                <w:sz w:val="16"/>
                <w:szCs w:val="16"/>
              </w:rPr>
              <w:t>)</w:t>
            </w:r>
          </w:p>
        </w:tc>
        <w:tc>
          <w:tcPr>
            <w:tcW w:w="5353" w:type="dxa"/>
          </w:tcPr>
          <w:p w:rsidR="007648B0" w:rsidRPr="006D0DA3" w:rsidRDefault="007648B0" w:rsidP="00223B18">
            <w:pPr>
              <w:autoSpaceDE w:val="0"/>
              <w:autoSpaceDN w:val="0"/>
              <w:adjustRightInd w:val="0"/>
              <w:spacing w:before="40" w:after="40" w:line="240" w:lineRule="auto"/>
              <w:jc w:val="both"/>
              <w:rPr>
                <w:rFonts w:asciiTheme="minorHAnsi" w:hAnsiTheme="minorHAnsi" w:cstheme="minorHAnsi"/>
                <w:sz w:val="16"/>
                <w:szCs w:val="16"/>
              </w:rPr>
            </w:pPr>
            <w:r w:rsidRPr="006D0DA3">
              <w:rPr>
                <w:rFonts w:asciiTheme="minorHAnsi" w:hAnsiTheme="minorHAnsi" w:cstheme="minorHAnsi"/>
                <w:sz w:val="16"/>
                <w:szCs w:val="16"/>
              </w:rPr>
              <w:t>Realised foreign exchange loss</w:t>
            </w:r>
          </w:p>
        </w:tc>
        <w:tc>
          <w:tcPr>
            <w:tcW w:w="1834" w:type="dxa"/>
            <w:shd w:val="clear" w:color="auto" w:fill="auto"/>
          </w:tcPr>
          <w:p w:rsidR="007648B0" w:rsidRPr="006D0DA3" w:rsidRDefault="0054761B" w:rsidP="004D1348">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w:t>
            </w:r>
          </w:p>
        </w:tc>
        <w:tc>
          <w:tcPr>
            <w:tcW w:w="236" w:type="dxa"/>
          </w:tcPr>
          <w:p w:rsidR="007648B0" w:rsidRPr="006D0DA3" w:rsidRDefault="007648B0" w:rsidP="00223B18">
            <w:pPr>
              <w:autoSpaceDE w:val="0"/>
              <w:autoSpaceDN w:val="0"/>
              <w:adjustRightInd w:val="0"/>
              <w:spacing w:before="40" w:after="40" w:line="240" w:lineRule="auto"/>
              <w:jc w:val="both"/>
              <w:rPr>
                <w:rFonts w:asciiTheme="minorHAnsi" w:hAnsiTheme="minorHAnsi" w:cstheme="minorHAnsi"/>
                <w:sz w:val="16"/>
                <w:szCs w:val="16"/>
              </w:rPr>
            </w:pPr>
          </w:p>
        </w:tc>
        <w:tc>
          <w:tcPr>
            <w:tcW w:w="1794" w:type="dxa"/>
          </w:tcPr>
          <w:p w:rsidR="007648B0" w:rsidRPr="006D0DA3" w:rsidRDefault="004D1348" w:rsidP="004D1348">
            <w:pPr>
              <w:autoSpaceDE w:val="0"/>
              <w:autoSpaceDN w:val="0"/>
              <w:adjustRightInd w:val="0"/>
              <w:spacing w:before="40" w:after="4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234</w:t>
            </w:r>
          </w:p>
        </w:tc>
      </w:tr>
      <w:tr w:rsidR="00D67C17" w:rsidRPr="006D0DA3" w:rsidTr="00CB49D3">
        <w:tc>
          <w:tcPr>
            <w:tcW w:w="439" w:type="dxa"/>
          </w:tcPr>
          <w:p w:rsidR="00D67C17" w:rsidRPr="006D0DA3" w:rsidRDefault="004C0CD4" w:rsidP="004B0FF4">
            <w:pPr>
              <w:autoSpaceDE w:val="0"/>
              <w:autoSpaceDN w:val="0"/>
              <w:adjustRightInd w:val="0"/>
              <w:spacing w:before="40" w:after="40" w:line="240" w:lineRule="auto"/>
              <w:jc w:val="both"/>
              <w:rPr>
                <w:rFonts w:asciiTheme="minorHAnsi" w:hAnsiTheme="minorHAnsi" w:cstheme="minorHAnsi"/>
                <w:sz w:val="16"/>
                <w:szCs w:val="16"/>
              </w:rPr>
            </w:pPr>
            <w:r>
              <w:rPr>
                <w:rFonts w:asciiTheme="minorHAnsi" w:hAnsiTheme="minorHAnsi" w:cstheme="minorHAnsi"/>
                <w:sz w:val="16"/>
                <w:szCs w:val="16"/>
              </w:rPr>
              <w:t>(h</w:t>
            </w:r>
            <w:r w:rsidR="00D67C17" w:rsidRPr="006D0DA3">
              <w:rPr>
                <w:rFonts w:asciiTheme="minorHAnsi" w:hAnsiTheme="minorHAnsi" w:cstheme="minorHAnsi"/>
                <w:sz w:val="16"/>
                <w:szCs w:val="16"/>
              </w:rPr>
              <w:t>)</w:t>
            </w:r>
          </w:p>
        </w:tc>
        <w:tc>
          <w:tcPr>
            <w:tcW w:w="5353" w:type="dxa"/>
          </w:tcPr>
          <w:p w:rsidR="00D67C17" w:rsidRPr="006D0DA3" w:rsidRDefault="00193B54" w:rsidP="006A62D5">
            <w:pPr>
              <w:autoSpaceDE w:val="0"/>
              <w:autoSpaceDN w:val="0"/>
              <w:adjustRightInd w:val="0"/>
              <w:spacing w:before="40" w:after="40" w:line="240" w:lineRule="auto"/>
              <w:jc w:val="both"/>
              <w:rPr>
                <w:rFonts w:asciiTheme="minorHAnsi" w:hAnsiTheme="minorHAnsi" w:cstheme="minorHAnsi"/>
                <w:sz w:val="16"/>
                <w:szCs w:val="16"/>
              </w:rPr>
            </w:pPr>
            <w:r>
              <w:rPr>
                <w:rFonts w:asciiTheme="minorHAnsi" w:hAnsiTheme="minorHAnsi" w:cstheme="minorHAnsi"/>
                <w:sz w:val="16"/>
                <w:szCs w:val="16"/>
              </w:rPr>
              <w:t>(</w:t>
            </w:r>
            <w:r w:rsidR="006A62D5">
              <w:rPr>
                <w:rFonts w:asciiTheme="minorHAnsi" w:hAnsiTheme="minorHAnsi" w:cstheme="minorHAnsi"/>
                <w:sz w:val="16"/>
                <w:szCs w:val="16"/>
              </w:rPr>
              <w:t>Surplus</w:t>
            </w:r>
            <w:r>
              <w:rPr>
                <w:rFonts w:asciiTheme="minorHAnsi" w:hAnsiTheme="minorHAnsi" w:cstheme="minorHAnsi"/>
                <w:sz w:val="16"/>
                <w:szCs w:val="16"/>
              </w:rPr>
              <w:t>)/Deficit</w:t>
            </w:r>
            <w:r w:rsidR="004D1348">
              <w:rPr>
                <w:rFonts w:asciiTheme="minorHAnsi" w:hAnsiTheme="minorHAnsi" w:cstheme="minorHAnsi"/>
                <w:sz w:val="16"/>
                <w:szCs w:val="16"/>
              </w:rPr>
              <w:t xml:space="preserve"> </w:t>
            </w:r>
            <w:r w:rsidR="00D67C17" w:rsidRPr="006D0DA3">
              <w:rPr>
                <w:rFonts w:asciiTheme="minorHAnsi" w:hAnsiTheme="minorHAnsi" w:cstheme="minorHAnsi"/>
                <w:sz w:val="16"/>
                <w:szCs w:val="16"/>
              </w:rPr>
              <w:t xml:space="preserve"> on </w:t>
            </w:r>
            <w:r w:rsidR="00CA33F7">
              <w:rPr>
                <w:rFonts w:asciiTheme="minorHAnsi" w:hAnsiTheme="minorHAnsi" w:cstheme="minorHAnsi"/>
                <w:sz w:val="16"/>
                <w:szCs w:val="16"/>
              </w:rPr>
              <w:t>disposal</w:t>
            </w:r>
            <w:r w:rsidR="00D67C17" w:rsidRPr="006D0DA3">
              <w:rPr>
                <w:rFonts w:asciiTheme="minorHAnsi" w:hAnsiTheme="minorHAnsi" w:cstheme="minorHAnsi"/>
                <w:sz w:val="16"/>
                <w:szCs w:val="16"/>
              </w:rPr>
              <w:t xml:space="preserve"> </w:t>
            </w:r>
            <w:r w:rsidR="00AB54EA">
              <w:rPr>
                <w:rFonts w:asciiTheme="minorHAnsi" w:hAnsiTheme="minorHAnsi" w:cstheme="minorHAnsi"/>
                <w:sz w:val="16"/>
                <w:szCs w:val="16"/>
              </w:rPr>
              <w:t>/</w:t>
            </w:r>
            <w:r w:rsidR="004D1348">
              <w:rPr>
                <w:rFonts w:asciiTheme="minorHAnsi" w:hAnsiTheme="minorHAnsi" w:cstheme="minorHAnsi"/>
                <w:sz w:val="16"/>
                <w:szCs w:val="16"/>
              </w:rPr>
              <w:t xml:space="preserve"> de-consolidation </w:t>
            </w:r>
            <w:r w:rsidR="00D67C17" w:rsidRPr="006D0DA3">
              <w:rPr>
                <w:rFonts w:asciiTheme="minorHAnsi" w:hAnsiTheme="minorHAnsi" w:cstheme="minorHAnsi"/>
                <w:sz w:val="16"/>
                <w:szCs w:val="16"/>
              </w:rPr>
              <w:t>of subsidiary</w:t>
            </w:r>
          </w:p>
        </w:tc>
        <w:tc>
          <w:tcPr>
            <w:tcW w:w="1834" w:type="dxa"/>
            <w:shd w:val="clear" w:color="auto" w:fill="auto"/>
          </w:tcPr>
          <w:p w:rsidR="00D67C17" w:rsidRPr="006D0DA3" w:rsidRDefault="00AF6119" w:rsidP="00310BB6">
            <w:pPr>
              <w:autoSpaceDE w:val="0"/>
              <w:autoSpaceDN w:val="0"/>
              <w:adjustRightInd w:val="0"/>
              <w:spacing w:before="40" w:after="40" w:line="240" w:lineRule="auto"/>
              <w:jc w:val="right"/>
              <w:rPr>
                <w:rFonts w:asciiTheme="minorHAnsi" w:hAnsiTheme="minorHAnsi" w:cstheme="minorHAnsi"/>
                <w:sz w:val="16"/>
                <w:szCs w:val="16"/>
              </w:rPr>
            </w:pPr>
            <w:r>
              <w:rPr>
                <w:rFonts w:asciiTheme="minorHAnsi" w:hAnsiTheme="minorHAnsi" w:cstheme="minorHAnsi"/>
                <w:sz w:val="16"/>
                <w:szCs w:val="16"/>
              </w:rPr>
              <w:t>-</w:t>
            </w:r>
          </w:p>
        </w:tc>
        <w:tc>
          <w:tcPr>
            <w:tcW w:w="236" w:type="dxa"/>
          </w:tcPr>
          <w:p w:rsidR="00D67C17" w:rsidRPr="006D0DA3" w:rsidRDefault="00D67C17" w:rsidP="00223B18">
            <w:pPr>
              <w:autoSpaceDE w:val="0"/>
              <w:autoSpaceDN w:val="0"/>
              <w:adjustRightInd w:val="0"/>
              <w:spacing w:before="40" w:after="40" w:line="240" w:lineRule="auto"/>
              <w:jc w:val="both"/>
              <w:rPr>
                <w:rFonts w:asciiTheme="minorHAnsi" w:hAnsiTheme="minorHAnsi" w:cstheme="minorHAnsi"/>
                <w:sz w:val="16"/>
                <w:szCs w:val="16"/>
              </w:rPr>
            </w:pPr>
          </w:p>
        </w:tc>
        <w:tc>
          <w:tcPr>
            <w:tcW w:w="1794" w:type="dxa"/>
          </w:tcPr>
          <w:p w:rsidR="00D67C17" w:rsidRPr="006D0DA3" w:rsidDel="004941E6" w:rsidRDefault="00D67C17" w:rsidP="006A62D5">
            <w:pPr>
              <w:autoSpaceDE w:val="0"/>
              <w:autoSpaceDN w:val="0"/>
              <w:adjustRightInd w:val="0"/>
              <w:spacing w:before="40" w:after="4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B54A26">
              <w:rPr>
                <w:rFonts w:asciiTheme="minorHAnsi" w:hAnsiTheme="minorHAnsi" w:cstheme="minorHAnsi"/>
                <w:color w:val="000000"/>
                <w:sz w:val="16"/>
                <w:szCs w:val="16"/>
              </w:rPr>
              <w:t>3,68</w:t>
            </w:r>
            <w:r w:rsidR="006A62D5">
              <w:rPr>
                <w:rFonts w:asciiTheme="minorHAnsi" w:hAnsiTheme="minorHAnsi" w:cstheme="minorHAnsi"/>
                <w:color w:val="000000"/>
                <w:sz w:val="16"/>
                <w:szCs w:val="16"/>
              </w:rPr>
              <w:t>3</w:t>
            </w:r>
            <w:r w:rsidRPr="006D0DA3">
              <w:rPr>
                <w:rFonts w:asciiTheme="minorHAnsi" w:hAnsiTheme="minorHAnsi" w:cstheme="minorHAnsi"/>
                <w:color w:val="000000"/>
                <w:sz w:val="16"/>
                <w:szCs w:val="16"/>
              </w:rPr>
              <w:t>)</w:t>
            </w:r>
          </w:p>
        </w:tc>
      </w:tr>
    </w:tbl>
    <w:p w:rsidR="00223B18" w:rsidRPr="006D0DA3" w:rsidRDefault="00223B18" w:rsidP="00223B18">
      <w:pPr>
        <w:autoSpaceDE w:val="0"/>
        <w:autoSpaceDN w:val="0"/>
        <w:adjustRightInd w:val="0"/>
        <w:spacing w:after="0" w:line="240" w:lineRule="auto"/>
        <w:jc w:val="both"/>
        <w:rPr>
          <w:rFonts w:asciiTheme="minorHAnsi" w:hAnsiTheme="minorHAnsi" w:cstheme="minorHAnsi"/>
          <w:sz w:val="16"/>
          <w:szCs w:val="16"/>
        </w:rPr>
      </w:pPr>
    </w:p>
    <w:p w:rsidR="00223B18" w:rsidRPr="006D0DA3" w:rsidRDefault="00223B18" w:rsidP="00223B18">
      <w:pPr>
        <w:autoSpaceDE w:val="0"/>
        <w:autoSpaceDN w:val="0"/>
        <w:adjustRightInd w:val="0"/>
        <w:spacing w:after="0" w:line="240" w:lineRule="auto"/>
        <w:rPr>
          <w:rFonts w:asciiTheme="minorHAnsi" w:hAnsiTheme="minorHAnsi" w:cstheme="minorHAnsi"/>
          <w:b/>
          <w:bCs/>
          <w:sz w:val="16"/>
          <w:szCs w:val="16"/>
        </w:rPr>
      </w:pPr>
    </w:p>
    <w:p w:rsidR="00223B18" w:rsidRPr="006D0DA3" w:rsidRDefault="00223B18" w:rsidP="00223B18">
      <w:pPr>
        <w:autoSpaceDE w:val="0"/>
        <w:autoSpaceDN w:val="0"/>
        <w:adjustRightInd w:val="0"/>
        <w:spacing w:after="0" w:line="240" w:lineRule="auto"/>
        <w:rPr>
          <w:rFonts w:asciiTheme="minorHAnsi" w:hAnsiTheme="minorHAnsi" w:cstheme="minorHAnsi"/>
          <w:b/>
          <w:bCs/>
          <w:sz w:val="16"/>
          <w:szCs w:val="16"/>
        </w:rPr>
      </w:pPr>
    </w:p>
    <w:p w:rsidR="00223B18" w:rsidRPr="006D0DA3" w:rsidRDefault="00223B18" w:rsidP="00223B18">
      <w:pPr>
        <w:autoSpaceDE w:val="0"/>
        <w:autoSpaceDN w:val="0"/>
        <w:adjustRightInd w:val="0"/>
        <w:spacing w:after="0" w:line="240" w:lineRule="auto"/>
        <w:rPr>
          <w:rFonts w:asciiTheme="minorHAnsi" w:hAnsiTheme="minorHAnsi" w:cstheme="minorHAnsi"/>
          <w:b/>
          <w:bCs/>
          <w:sz w:val="16"/>
          <w:szCs w:val="16"/>
        </w:rPr>
      </w:pPr>
    </w:p>
    <w:p w:rsidR="00223B18" w:rsidRPr="006D0DA3" w:rsidRDefault="00223B18" w:rsidP="00223B18">
      <w:pPr>
        <w:autoSpaceDE w:val="0"/>
        <w:autoSpaceDN w:val="0"/>
        <w:adjustRightInd w:val="0"/>
        <w:spacing w:after="0" w:line="240" w:lineRule="auto"/>
        <w:rPr>
          <w:rFonts w:asciiTheme="minorHAnsi" w:hAnsiTheme="minorHAnsi" w:cstheme="minorHAnsi"/>
          <w:b/>
          <w:bCs/>
          <w:sz w:val="16"/>
          <w:szCs w:val="16"/>
        </w:rPr>
      </w:pPr>
    </w:p>
    <w:p w:rsidR="00223B18" w:rsidRPr="006D0DA3" w:rsidRDefault="00223B18" w:rsidP="00223B18">
      <w:pPr>
        <w:autoSpaceDE w:val="0"/>
        <w:autoSpaceDN w:val="0"/>
        <w:adjustRightInd w:val="0"/>
        <w:spacing w:after="0" w:line="240" w:lineRule="auto"/>
        <w:rPr>
          <w:rFonts w:asciiTheme="minorHAnsi" w:hAnsiTheme="minorHAnsi" w:cstheme="minorHAnsi"/>
          <w:b/>
          <w:bCs/>
          <w:sz w:val="16"/>
          <w:szCs w:val="16"/>
        </w:rPr>
      </w:pPr>
    </w:p>
    <w:p w:rsidR="00FB7221" w:rsidRPr="006D0DA3" w:rsidRDefault="00223B18" w:rsidP="007C704D">
      <w:pPr>
        <w:autoSpaceDE w:val="0"/>
        <w:autoSpaceDN w:val="0"/>
        <w:adjustRightInd w:val="0"/>
        <w:spacing w:after="0" w:line="240" w:lineRule="auto"/>
        <w:jc w:val="center"/>
        <w:rPr>
          <w:rFonts w:asciiTheme="minorHAnsi" w:hAnsiTheme="minorHAnsi" w:cstheme="minorHAnsi"/>
          <w:b/>
          <w:bCs/>
          <w:sz w:val="16"/>
          <w:szCs w:val="16"/>
        </w:rPr>
      </w:pPr>
      <w:r w:rsidRPr="006D0DA3">
        <w:rPr>
          <w:rFonts w:asciiTheme="minorHAnsi" w:hAnsiTheme="minorHAnsi" w:cstheme="minorHAnsi"/>
          <w:b/>
          <w:bCs/>
          <w:sz w:val="16"/>
          <w:szCs w:val="16"/>
        </w:rPr>
        <w:br w:type="page"/>
      </w:r>
    </w:p>
    <w:p w:rsidR="00B13DE2" w:rsidRPr="006D0DA3" w:rsidRDefault="00B13DE2" w:rsidP="00FB7221">
      <w:pPr>
        <w:autoSpaceDE w:val="0"/>
        <w:autoSpaceDN w:val="0"/>
        <w:adjustRightInd w:val="0"/>
        <w:spacing w:after="0" w:line="240" w:lineRule="auto"/>
        <w:rPr>
          <w:rFonts w:asciiTheme="minorHAnsi" w:hAnsiTheme="minorHAnsi" w:cstheme="minorHAnsi"/>
          <w:b/>
          <w:bCs/>
          <w:sz w:val="16"/>
          <w:szCs w:val="16"/>
        </w:rPr>
      </w:pPr>
    </w:p>
    <w:p w:rsidR="00223B18" w:rsidRPr="006D0DA3" w:rsidRDefault="00223B18" w:rsidP="00FB7221">
      <w:pPr>
        <w:autoSpaceDE w:val="0"/>
        <w:autoSpaceDN w:val="0"/>
        <w:adjustRightInd w:val="0"/>
        <w:spacing w:after="0" w:line="240" w:lineRule="auto"/>
        <w:rPr>
          <w:rFonts w:asciiTheme="minorHAnsi" w:hAnsiTheme="minorHAnsi" w:cstheme="minorHAnsi"/>
          <w:b/>
          <w:bCs/>
          <w:sz w:val="16"/>
          <w:szCs w:val="16"/>
        </w:rPr>
      </w:pPr>
      <w:r w:rsidRPr="006D0DA3">
        <w:rPr>
          <w:rFonts w:asciiTheme="minorHAnsi" w:hAnsiTheme="minorHAnsi" w:cstheme="minorHAnsi"/>
          <w:b/>
          <w:bCs/>
          <w:sz w:val="16"/>
          <w:szCs w:val="16"/>
        </w:rPr>
        <w:t>UNAUDITED CONDENSED CONSOLIDATED STATEMENT OF FINANCIAL POSITION</w:t>
      </w:r>
    </w:p>
    <w:p w:rsidR="00FB7221" w:rsidRPr="00C33B1C" w:rsidRDefault="00F23BA0" w:rsidP="00B07C09">
      <w:pPr>
        <w:autoSpaceDE w:val="0"/>
        <w:autoSpaceDN w:val="0"/>
        <w:adjustRightInd w:val="0"/>
        <w:spacing w:after="0" w:line="240" w:lineRule="auto"/>
        <w:rPr>
          <w:rFonts w:asciiTheme="minorHAnsi" w:hAnsiTheme="minorHAnsi" w:cstheme="minorHAnsi"/>
          <w:b/>
          <w:bCs/>
          <w:sz w:val="16"/>
          <w:szCs w:val="16"/>
        </w:rPr>
      </w:pPr>
      <w:r w:rsidRPr="00C33B1C">
        <w:rPr>
          <w:rFonts w:asciiTheme="minorHAnsi" w:hAnsiTheme="minorHAnsi" w:cstheme="minorHAnsi"/>
          <w:b/>
          <w:bCs/>
          <w:sz w:val="16"/>
          <w:szCs w:val="16"/>
        </w:rPr>
        <w:t>AS AT</w:t>
      </w:r>
      <w:r w:rsidR="00DE6E90" w:rsidRPr="00C33B1C">
        <w:rPr>
          <w:rFonts w:asciiTheme="minorHAnsi" w:hAnsiTheme="minorHAnsi" w:cstheme="minorHAnsi"/>
          <w:b/>
          <w:bCs/>
          <w:sz w:val="16"/>
          <w:szCs w:val="16"/>
        </w:rPr>
        <w:t xml:space="preserve"> </w:t>
      </w:r>
      <w:r w:rsidR="001E6FD5" w:rsidRPr="00C33B1C">
        <w:rPr>
          <w:rFonts w:asciiTheme="minorHAnsi" w:hAnsiTheme="minorHAnsi" w:cstheme="minorHAnsi"/>
          <w:b/>
          <w:bCs/>
          <w:sz w:val="16"/>
          <w:szCs w:val="16"/>
        </w:rPr>
        <w:t xml:space="preserve">31 </w:t>
      </w:r>
      <w:r w:rsidR="00FC3267">
        <w:rPr>
          <w:rFonts w:asciiTheme="minorHAnsi" w:hAnsiTheme="minorHAnsi" w:cstheme="minorHAnsi"/>
          <w:b/>
          <w:bCs/>
          <w:sz w:val="16"/>
          <w:szCs w:val="16"/>
        </w:rPr>
        <w:t xml:space="preserve">JULY </w:t>
      </w:r>
      <w:r w:rsidR="00C33B1C" w:rsidRPr="00C33B1C">
        <w:rPr>
          <w:rFonts w:asciiTheme="minorHAnsi" w:hAnsiTheme="minorHAnsi"/>
          <w:b/>
          <w:bCs/>
          <w:sz w:val="16"/>
          <w:szCs w:val="16"/>
        </w:rPr>
        <w:t>2016</w:t>
      </w:r>
    </w:p>
    <w:tbl>
      <w:tblPr>
        <w:tblW w:w="4314" w:type="pct"/>
        <w:tblInd w:w="558" w:type="dxa"/>
        <w:tblLayout w:type="fixed"/>
        <w:tblLook w:val="00A0" w:firstRow="1" w:lastRow="0" w:firstColumn="1" w:lastColumn="0" w:noHBand="0" w:noVBand="0"/>
      </w:tblPr>
      <w:tblGrid>
        <w:gridCol w:w="3942"/>
        <w:gridCol w:w="291"/>
        <w:gridCol w:w="1886"/>
        <w:gridCol w:w="541"/>
        <w:gridCol w:w="595"/>
        <w:gridCol w:w="1735"/>
      </w:tblGrid>
      <w:tr w:rsidR="00BF1C78" w:rsidRPr="006D0DA3" w:rsidTr="00BF1C78">
        <w:trPr>
          <w:trHeight w:val="227"/>
        </w:trPr>
        <w:tc>
          <w:tcPr>
            <w:tcW w:w="2192" w:type="pct"/>
            <w:noWrap/>
            <w:vAlign w:val="bottom"/>
          </w:tcPr>
          <w:p w:rsidR="00BF1C78" w:rsidRPr="006D0DA3" w:rsidRDefault="00BF1C78" w:rsidP="00223B18">
            <w:pPr>
              <w:spacing w:after="0" w:line="240" w:lineRule="auto"/>
              <w:rPr>
                <w:rFonts w:asciiTheme="minorHAnsi" w:hAnsiTheme="minorHAnsi" w:cstheme="minorHAnsi"/>
                <w:color w:val="000000"/>
                <w:sz w:val="16"/>
                <w:szCs w:val="16"/>
              </w:rPr>
            </w:pPr>
          </w:p>
        </w:tc>
        <w:tc>
          <w:tcPr>
            <w:tcW w:w="162"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1049" w:type="pct"/>
            <w:noWrap/>
            <w:vAlign w:val="bottom"/>
          </w:tcPr>
          <w:p w:rsidR="00BF1C78" w:rsidRPr="006D0DA3" w:rsidRDefault="00BF1C78"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(Unaudited)</w:t>
            </w:r>
          </w:p>
        </w:tc>
        <w:tc>
          <w:tcPr>
            <w:tcW w:w="301"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331"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965" w:type="pct"/>
            <w:vAlign w:val="bottom"/>
          </w:tcPr>
          <w:p w:rsidR="00BF1C78" w:rsidRPr="006D0DA3" w:rsidRDefault="00BF1C78" w:rsidP="00A94CA5">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w:t>
            </w:r>
            <w:r w:rsidR="00A94CA5">
              <w:rPr>
                <w:rFonts w:asciiTheme="minorHAnsi" w:hAnsiTheme="minorHAnsi" w:cstheme="minorHAnsi"/>
                <w:b/>
                <w:color w:val="000000"/>
                <w:sz w:val="16"/>
                <w:szCs w:val="16"/>
              </w:rPr>
              <w:t>Una</w:t>
            </w:r>
            <w:r w:rsidRPr="006D0DA3">
              <w:rPr>
                <w:rFonts w:asciiTheme="minorHAnsi" w:hAnsiTheme="minorHAnsi" w:cstheme="minorHAnsi"/>
                <w:b/>
                <w:color w:val="000000"/>
                <w:sz w:val="16"/>
                <w:szCs w:val="16"/>
              </w:rPr>
              <w:t>udited)</w:t>
            </w:r>
          </w:p>
        </w:tc>
      </w:tr>
      <w:tr w:rsidR="00BF1C78" w:rsidRPr="006D0DA3" w:rsidTr="00BF1C78">
        <w:trPr>
          <w:trHeight w:val="227"/>
        </w:trPr>
        <w:tc>
          <w:tcPr>
            <w:tcW w:w="2192" w:type="pct"/>
            <w:noWrap/>
            <w:vAlign w:val="bottom"/>
          </w:tcPr>
          <w:p w:rsidR="00BF1C78" w:rsidRPr="006D0DA3" w:rsidRDefault="00BF1C78" w:rsidP="00223B18">
            <w:pPr>
              <w:spacing w:after="0" w:line="240" w:lineRule="auto"/>
              <w:rPr>
                <w:rFonts w:asciiTheme="minorHAnsi" w:hAnsiTheme="minorHAnsi" w:cstheme="minorHAnsi"/>
                <w:color w:val="000000"/>
                <w:sz w:val="16"/>
                <w:szCs w:val="16"/>
              </w:rPr>
            </w:pPr>
          </w:p>
        </w:tc>
        <w:tc>
          <w:tcPr>
            <w:tcW w:w="162"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1049" w:type="pct"/>
            <w:noWrap/>
            <w:vAlign w:val="bottom"/>
          </w:tcPr>
          <w:p w:rsidR="00BF1C78" w:rsidRPr="006D0DA3" w:rsidRDefault="00BF1C78"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As at</w:t>
            </w:r>
          </w:p>
        </w:tc>
        <w:tc>
          <w:tcPr>
            <w:tcW w:w="301"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331"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965" w:type="pct"/>
            <w:vAlign w:val="bottom"/>
          </w:tcPr>
          <w:p w:rsidR="00BF1C78" w:rsidRPr="006D0DA3" w:rsidRDefault="00BF1C78"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As at</w:t>
            </w:r>
          </w:p>
        </w:tc>
      </w:tr>
      <w:tr w:rsidR="00BF1C78" w:rsidRPr="006D0DA3" w:rsidTr="00BF1C78">
        <w:trPr>
          <w:trHeight w:val="227"/>
        </w:trPr>
        <w:tc>
          <w:tcPr>
            <w:tcW w:w="2192" w:type="pct"/>
            <w:noWrap/>
            <w:vAlign w:val="bottom"/>
          </w:tcPr>
          <w:p w:rsidR="00BF1C78" w:rsidRPr="006D0DA3" w:rsidRDefault="00BF1C78" w:rsidP="00223B18">
            <w:pPr>
              <w:spacing w:after="0" w:line="240" w:lineRule="auto"/>
              <w:rPr>
                <w:rFonts w:asciiTheme="minorHAnsi" w:hAnsiTheme="minorHAnsi" w:cstheme="minorHAnsi"/>
                <w:color w:val="000000"/>
                <w:sz w:val="16"/>
                <w:szCs w:val="16"/>
              </w:rPr>
            </w:pPr>
          </w:p>
        </w:tc>
        <w:tc>
          <w:tcPr>
            <w:tcW w:w="162"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1049" w:type="pct"/>
            <w:noWrap/>
            <w:vAlign w:val="bottom"/>
          </w:tcPr>
          <w:p w:rsidR="00BF1C78" w:rsidRPr="006D0DA3" w:rsidRDefault="00A94CA5" w:rsidP="0063257B">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bCs/>
                <w:color w:val="000000"/>
                <w:sz w:val="16"/>
                <w:szCs w:val="16"/>
              </w:rPr>
              <w:t>3</w:t>
            </w:r>
            <w:r w:rsidR="0063257B">
              <w:rPr>
                <w:rFonts w:asciiTheme="minorHAnsi" w:hAnsiTheme="minorHAnsi" w:cstheme="minorHAnsi"/>
                <w:b/>
                <w:bCs/>
                <w:color w:val="000000"/>
                <w:sz w:val="16"/>
                <w:szCs w:val="16"/>
              </w:rPr>
              <w:t>1July</w:t>
            </w:r>
            <w:r w:rsidRPr="006D0DA3">
              <w:rPr>
                <w:rFonts w:asciiTheme="minorHAnsi" w:hAnsiTheme="minorHAnsi" w:cstheme="minorHAnsi"/>
                <w:b/>
                <w:bCs/>
                <w:color w:val="000000"/>
                <w:sz w:val="16"/>
                <w:szCs w:val="16"/>
              </w:rPr>
              <w:t xml:space="preserve"> </w:t>
            </w:r>
            <w:r w:rsidR="00BF1C78" w:rsidRPr="006D0DA3">
              <w:rPr>
                <w:rFonts w:asciiTheme="minorHAnsi" w:hAnsiTheme="minorHAnsi" w:cstheme="minorHAnsi"/>
                <w:b/>
                <w:color w:val="000000"/>
                <w:sz w:val="16"/>
                <w:szCs w:val="16"/>
              </w:rPr>
              <w:t>201</w:t>
            </w:r>
            <w:r w:rsidR="00F145E6">
              <w:rPr>
                <w:rFonts w:asciiTheme="minorHAnsi" w:hAnsiTheme="minorHAnsi" w:cstheme="minorHAnsi"/>
                <w:b/>
                <w:color w:val="000000"/>
                <w:sz w:val="16"/>
                <w:szCs w:val="16"/>
              </w:rPr>
              <w:t>6</w:t>
            </w:r>
          </w:p>
        </w:tc>
        <w:tc>
          <w:tcPr>
            <w:tcW w:w="301"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331"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965" w:type="pct"/>
            <w:vAlign w:val="bottom"/>
          </w:tcPr>
          <w:p w:rsidR="00BF1C78" w:rsidRPr="006D0DA3" w:rsidRDefault="00A94CA5" w:rsidP="00FC3267">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bCs/>
                <w:color w:val="000000"/>
                <w:sz w:val="16"/>
                <w:szCs w:val="16"/>
              </w:rPr>
              <w:t>3</w:t>
            </w:r>
            <w:r w:rsidR="00FC3267">
              <w:rPr>
                <w:rFonts w:asciiTheme="minorHAnsi" w:hAnsiTheme="minorHAnsi" w:cstheme="minorHAnsi"/>
                <w:b/>
                <w:bCs/>
                <w:color w:val="000000"/>
                <w:sz w:val="16"/>
                <w:szCs w:val="16"/>
              </w:rPr>
              <w:t xml:space="preserve">0  June </w:t>
            </w:r>
            <w:r w:rsidRPr="006D0DA3">
              <w:rPr>
                <w:rFonts w:asciiTheme="minorHAnsi" w:hAnsiTheme="minorHAnsi" w:cstheme="minorHAnsi"/>
                <w:b/>
                <w:bCs/>
                <w:color w:val="000000"/>
                <w:sz w:val="16"/>
                <w:szCs w:val="16"/>
              </w:rPr>
              <w:t xml:space="preserve"> </w:t>
            </w:r>
            <w:r w:rsidR="00BF1C78" w:rsidRPr="006D0DA3">
              <w:rPr>
                <w:rFonts w:asciiTheme="minorHAnsi" w:hAnsiTheme="minorHAnsi" w:cstheme="minorHAnsi"/>
                <w:b/>
                <w:color w:val="000000"/>
                <w:sz w:val="16"/>
                <w:szCs w:val="16"/>
              </w:rPr>
              <w:t>2015</w:t>
            </w:r>
          </w:p>
        </w:tc>
      </w:tr>
      <w:tr w:rsidR="00BF1C78" w:rsidRPr="006D0DA3" w:rsidTr="00BF1C78">
        <w:trPr>
          <w:trHeight w:val="227"/>
        </w:trPr>
        <w:tc>
          <w:tcPr>
            <w:tcW w:w="2192" w:type="pct"/>
            <w:noWrap/>
            <w:vAlign w:val="bottom"/>
          </w:tcPr>
          <w:p w:rsidR="00BF1C78" w:rsidRPr="006D0DA3" w:rsidRDefault="00BF1C78" w:rsidP="00223B18">
            <w:pPr>
              <w:spacing w:after="0" w:line="240" w:lineRule="auto"/>
              <w:rPr>
                <w:rFonts w:asciiTheme="minorHAnsi" w:hAnsiTheme="minorHAnsi" w:cstheme="minorHAnsi"/>
                <w:color w:val="000000"/>
                <w:sz w:val="16"/>
                <w:szCs w:val="16"/>
              </w:rPr>
            </w:pPr>
          </w:p>
        </w:tc>
        <w:tc>
          <w:tcPr>
            <w:tcW w:w="162"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1049" w:type="pct"/>
            <w:noWrap/>
            <w:vAlign w:val="bottom"/>
          </w:tcPr>
          <w:p w:rsidR="00BF1C78" w:rsidRPr="006D0DA3" w:rsidRDefault="00BF1C78"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RM'000</w:t>
            </w:r>
          </w:p>
        </w:tc>
        <w:tc>
          <w:tcPr>
            <w:tcW w:w="301"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331"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965" w:type="pct"/>
            <w:vAlign w:val="bottom"/>
          </w:tcPr>
          <w:p w:rsidR="00BF1C78" w:rsidRPr="006D0DA3" w:rsidRDefault="00BF1C78"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RM'000</w:t>
            </w:r>
          </w:p>
        </w:tc>
      </w:tr>
      <w:tr w:rsidR="00BF1C78" w:rsidRPr="006D0DA3" w:rsidTr="00BF1C78">
        <w:trPr>
          <w:trHeight w:val="254"/>
        </w:trPr>
        <w:tc>
          <w:tcPr>
            <w:tcW w:w="2192" w:type="pct"/>
            <w:noWrap/>
            <w:vAlign w:val="bottom"/>
          </w:tcPr>
          <w:p w:rsidR="00BF1C78" w:rsidRPr="006D0DA3" w:rsidRDefault="00BF1C78"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ASSETS</w:t>
            </w:r>
          </w:p>
        </w:tc>
        <w:tc>
          <w:tcPr>
            <w:tcW w:w="162"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1049" w:type="pct"/>
            <w:noWrap/>
            <w:vAlign w:val="bottom"/>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301"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331"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c>
          <w:tcPr>
            <w:tcW w:w="965" w:type="pct"/>
          </w:tcPr>
          <w:p w:rsidR="00BF1C78" w:rsidRPr="006D0DA3" w:rsidRDefault="00BF1C78" w:rsidP="00223B18">
            <w:pPr>
              <w:spacing w:after="0" w:line="240" w:lineRule="auto"/>
              <w:jc w:val="right"/>
              <w:rPr>
                <w:rFonts w:asciiTheme="minorHAnsi" w:hAnsiTheme="minorHAnsi" w:cstheme="minorHAnsi"/>
                <w:b/>
                <w:color w:val="000000"/>
                <w:sz w:val="16"/>
                <w:szCs w:val="16"/>
              </w:rPr>
            </w:pPr>
          </w:p>
        </w:tc>
      </w:tr>
      <w:tr w:rsidR="00BF1C78" w:rsidRPr="006D0DA3" w:rsidTr="00BF1C78">
        <w:trPr>
          <w:trHeight w:val="254"/>
        </w:trPr>
        <w:tc>
          <w:tcPr>
            <w:tcW w:w="2192" w:type="pct"/>
            <w:noWrap/>
            <w:vAlign w:val="bottom"/>
          </w:tcPr>
          <w:p w:rsidR="00BF1C78" w:rsidRPr="006D0DA3" w:rsidRDefault="00BF1C78" w:rsidP="00223B18">
            <w:pPr>
              <w:spacing w:after="0" w:line="240" w:lineRule="auto"/>
              <w:rPr>
                <w:rFonts w:asciiTheme="minorHAnsi" w:hAnsiTheme="minorHAnsi" w:cstheme="minorHAnsi"/>
                <w:b/>
                <w:color w:val="000000"/>
                <w:sz w:val="16"/>
                <w:szCs w:val="16"/>
              </w:rPr>
            </w:pPr>
          </w:p>
        </w:tc>
        <w:tc>
          <w:tcPr>
            <w:tcW w:w="162" w:type="pct"/>
          </w:tcPr>
          <w:p w:rsidR="00BF1C78" w:rsidRPr="006D0DA3" w:rsidRDefault="00BF1C78" w:rsidP="00223B18">
            <w:pPr>
              <w:spacing w:after="0" w:line="240" w:lineRule="auto"/>
              <w:jc w:val="center"/>
              <w:rPr>
                <w:rFonts w:asciiTheme="minorHAnsi" w:hAnsiTheme="minorHAnsi" w:cstheme="minorHAnsi"/>
                <w:b/>
                <w:color w:val="000000"/>
                <w:sz w:val="16"/>
                <w:szCs w:val="16"/>
              </w:rPr>
            </w:pPr>
          </w:p>
        </w:tc>
        <w:tc>
          <w:tcPr>
            <w:tcW w:w="1049" w:type="pct"/>
            <w:noWrap/>
            <w:vAlign w:val="bottom"/>
          </w:tcPr>
          <w:p w:rsidR="00BF1C78" w:rsidRPr="006D0DA3" w:rsidRDefault="00BF1C78" w:rsidP="00223B18">
            <w:pPr>
              <w:spacing w:after="0" w:line="240" w:lineRule="auto"/>
              <w:jc w:val="center"/>
              <w:rPr>
                <w:rFonts w:asciiTheme="minorHAnsi" w:hAnsiTheme="minorHAnsi" w:cstheme="minorHAnsi"/>
                <w:b/>
                <w:color w:val="000000"/>
                <w:sz w:val="16"/>
                <w:szCs w:val="16"/>
              </w:rPr>
            </w:pPr>
          </w:p>
        </w:tc>
        <w:tc>
          <w:tcPr>
            <w:tcW w:w="301" w:type="pct"/>
          </w:tcPr>
          <w:p w:rsidR="00BF1C78" w:rsidRPr="006D0DA3" w:rsidRDefault="00BF1C78" w:rsidP="00223B18">
            <w:pPr>
              <w:spacing w:after="0" w:line="240" w:lineRule="auto"/>
              <w:jc w:val="center"/>
              <w:rPr>
                <w:rFonts w:asciiTheme="minorHAnsi" w:hAnsiTheme="minorHAnsi" w:cstheme="minorHAnsi"/>
                <w:b/>
                <w:color w:val="000000"/>
                <w:sz w:val="16"/>
                <w:szCs w:val="16"/>
              </w:rPr>
            </w:pPr>
          </w:p>
        </w:tc>
        <w:tc>
          <w:tcPr>
            <w:tcW w:w="331" w:type="pct"/>
          </w:tcPr>
          <w:p w:rsidR="00BF1C78" w:rsidRPr="006D0DA3" w:rsidRDefault="00BF1C78" w:rsidP="00223B18">
            <w:pPr>
              <w:spacing w:after="0" w:line="240" w:lineRule="auto"/>
              <w:jc w:val="center"/>
              <w:rPr>
                <w:rFonts w:asciiTheme="minorHAnsi" w:hAnsiTheme="minorHAnsi" w:cstheme="minorHAnsi"/>
                <w:b/>
                <w:color w:val="000000"/>
                <w:sz w:val="16"/>
                <w:szCs w:val="16"/>
              </w:rPr>
            </w:pPr>
          </w:p>
        </w:tc>
        <w:tc>
          <w:tcPr>
            <w:tcW w:w="965" w:type="pct"/>
          </w:tcPr>
          <w:p w:rsidR="00BF1C78" w:rsidRPr="006D0DA3" w:rsidRDefault="00BF1C78" w:rsidP="00223B18">
            <w:pPr>
              <w:spacing w:after="0" w:line="240" w:lineRule="auto"/>
              <w:jc w:val="center"/>
              <w:rPr>
                <w:rFonts w:asciiTheme="minorHAnsi" w:hAnsiTheme="minorHAnsi" w:cstheme="minorHAnsi"/>
                <w:b/>
                <w:color w:val="000000"/>
                <w:sz w:val="16"/>
                <w:szCs w:val="16"/>
              </w:rPr>
            </w:pPr>
          </w:p>
        </w:tc>
      </w:tr>
      <w:tr w:rsidR="00BF1C78" w:rsidRPr="006D0DA3" w:rsidTr="00BF1C78">
        <w:trPr>
          <w:trHeight w:val="254"/>
        </w:trPr>
        <w:tc>
          <w:tcPr>
            <w:tcW w:w="2192" w:type="pct"/>
            <w:noWrap/>
            <w:vAlign w:val="bottom"/>
          </w:tcPr>
          <w:p w:rsidR="00BF1C78" w:rsidRPr="006D0DA3" w:rsidRDefault="00BF1C78"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Non-current assets</w:t>
            </w:r>
          </w:p>
        </w:tc>
        <w:tc>
          <w:tcPr>
            <w:tcW w:w="162" w:type="pct"/>
          </w:tcPr>
          <w:p w:rsidR="00BF1C78" w:rsidRPr="006D0DA3" w:rsidRDefault="00BF1C78" w:rsidP="00223B18">
            <w:pPr>
              <w:spacing w:after="0" w:line="240" w:lineRule="auto"/>
              <w:jc w:val="center"/>
              <w:rPr>
                <w:rFonts w:asciiTheme="minorHAnsi" w:hAnsiTheme="minorHAnsi" w:cstheme="minorHAnsi"/>
                <w:b/>
                <w:color w:val="000000"/>
                <w:sz w:val="16"/>
                <w:szCs w:val="16"/>
              </w:rPr>
            </w:pPr>
          </w:p>
        </w:tc>
        <w:tc>
          <w:tcPr>
            <w:tcW w:w="1049" w:type="pct"/>
            <w:noWrap/>
            <w:vAlign w:val="bottom"/>
          </w:tcPr>
          <w:p w:rsidR="00BF1C78" w:rsidRPr="006D0DA3" w:rsidRDefault="00BF1C78" w:rsidP="00223B18">
            <w:pPr>
              <w:spacing w:after="0" w:line="240" w:lineRule="auto"/>
              <w:jc w:val="center"/>
              <w:rPr>
                <w:rFonts w:asciiTheme="minorHAnsi" w:hAnsiTheme="minorHAnsi" w:cstheme="minorHAnsi"/>
                <w:b/>
                <w:color w:val="000000"/>
                <w:sz w:val="16"/>
                <w:szCs w:val="16"/>
              </w:rPr>
            </w:pPr>
          </w:p>
        </w:tc>
        <w:tc>
          <w:tcPr>
            <w:tcW w:w="301" w:type="pct"/>
          </w:tcPr>
          <w:p w:rsidR="00BF1C78" w:rsidRPr="006D0DA3" w:rsidRDefault="00BF1C78" w:rsidP="00223B18">
            <w:pPr>
              <w:spacing w:after="0" w:line="240" w:lineRule="auto"/>
              <w:jc w:val="center"/>
              <w:rPr>
                <w:rFonts w:asciiTheme="minorHAnsi" w:hAnsiTheme="minorHAnsi" w:cstheme="minorHAnsi"/>
                <w:b/>
                <w:color w:val="000000"/>
                <w:sz w:val="16"/>
                <w:szCs w:val="16"/>
              </w:rPr>
            </w:pPr>
          </w:p>
        </w:tc>
        <w:tc>
          <w:tcPr>
            <w:tcW w:w="331" w:type="pct"/>
          </w:tcPr>
          <w:p w:rsidR="00BF1C78" w:rsidRPr="006D0DA3" w:rsidRDefault="00BF1C78" w:rsidP="00223B18">
            <w:pPr>
              <w:spacing w:after="0" w:line="240" w:lineRule="auto"/>
              <w:jc w:val="center"/>
              <w:rPr>
                <w:rFonts w:asciiTheme="minorHAnsi" w:hAnsiTheme="minorHAnsi" w:cstheme="minorHAnsi"/>
                <w:b/>
                <w:color w:val="000000"/>
                <w:sz w:val="16"/>
                <w:szCs w:val="16"/>
              </w:rPr>
            </w:pPr>
          </w:p>
        </w:tc>
        <w:tc>
          <w:tcPr>
            <w:tcW w:w="965" w:type="pct"/>
          </w:tcPr>
          <w:p w:rsidR="00BF1C78" w:rsidRPr="006D0DA3" w:rsidRDefault="00BF1C78" w:rsidP="00223B18">
            <w:pPr>
              <w:spacing w:after="0" w:line="240" w:lineRule="auto"/>
              <w:jc w:val="center"/>
              <w:rPr>
                <w:rFonts w:asciiTheme="minorHAnsi" w:hAnsiTheme="minorHAnsi" w:cstheme="minorHAnsi"/>
                <w:b/>
                <w:color w:val="000000"/>
                <w:sz w:val="16"/>
                <w:szCs w:val="16"/>
              </w:rPr>
            </w:pP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Property, plant and equipment</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CF7FE2" w:rsidP="00FC326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3,</w:t>
            </w:r>
            <w:r w:rsidR="00FC3267">
              <w:rPr>
                <w:rFonts w:asciiTheme="minorHAnsi" w:hAnsiTheme="minorHAnsi" w:cstheme="minorHAnsi"/>
                <w:color w:val="000000"/>
                <w:sz w:val="16"/>
                <w:szCs w:val="16"/>
              </w:rPr>
              <w:t>545</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6,539</w:t>
            </w:r>
          </w:p>
        </w:tc>
      </w:tr>
      <w:tr w:rsidR="00CF7FE2" w:rsidRPr="006D0DA3" w:rsidTr="00BF1C78">
        <w:trPr>
          <w:trHeight w:val="254"/>
        </w:trPr>
        <w:tc>
          <w:tcPr>
            <w:tcW w:w="2192" w:type="pct"/>
            <w:noWrap/>
            <w:vAlign w:val="bottom"/>
          </w:tcPr>
          <w:p w:rsidR="00CF7FE2" w:rsidRPr="006D0DA3" w:rsidRDefault="00CF7FE2" w:rsidP="009906A1">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Intangible Assets </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bottom w:val="single" w:sz="4" w:space="0" w:color="auto"/>
            </w:tcBorders>
            <w:noWrap/>
            <w:vAlign w:val="bottom"/>
          </w:tcPr>
          <w:p w:rsidR="00CF7FE2" w:rsidRPr="006D0DA3" w:rsidRDefault="00CF7FE2" w:rsidP="00FC326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7</w:t>
            </w:r>
            <w:r w:rsidR="00FC3267">
              <w:rPr>
                <w:rFonts w:asciiTheme="minorHAnsi" w:hAnsiTheme="minorHAnsi" w:cstheme="minorHAnsi"/>
                <w:color w:val="000000"/>
                <w:sz w:val="16"/>
                <w:szCs w:val="16"/>
              </w:rPr>
              <w:t>01</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bottom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1,268</w:t>
            </w: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color w:val="000000"/>
                <w:sz w:val="16"/>
                <w:szCs w:val="16"/>
              </w:rPr>
            </w:pP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top w:val="single" w:sz="4" w:space="0" w:color="auto"/>
              <w:bottom w:val="single" w:sz="4" w:space="0" w:color="auto"/>
            </w:tcBorders>
            <w:noWrap/>
            <w:vAlign w:val="bottom"/>
          </w:tcPr>
          <w:p w:rsidR="00CF7FE2" w:rsidRPr="006D0DA3" w:rsidRDefault="00CF7FE2" w:rsidP="00FC326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w:t>
            </w:r>
            <w:r w:rsidR="00FC3267">
              <w:rPr>
                <w:rFonts w:asciiTheme="minorHAnsi" w:hAnsiTheme="minorHAnsi" w:cstheme="minorHAnsi"/>
                <w:color w:val="000000"/>
                <w:sz w:val="16"/>
                <w:szCs w:val="16"/>
              </w:rPr>
              <w:t>246</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top w:val="single" w:sz="4" w:space="0" w:color="auto"/>
              <w:bottom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7,807</w:t>
            </w: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color w:val="000000"/>
                <w:sz w:val="16"/>
                <w:szCs w:val="16"/>
              </w:rPr>
            </w:pP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top w:val="single" w:sz="4" w:space="0" w:color="auto"/>
            </w:tcBorders>
            <w:noWrap/>
            <w:vAlign w:val="bottom"/>
          </w:tcPr>
          <w:p w:rsidR="00CF7FE2" w:rsidRPr="006D0DA3" w:rsidRDefault="00CF7FE2" w:rsidP="00C76802">
            <w:pPr>
              <w:spacing w:after="0" w:line="240" w:lineRule="auto"/>
              <w:jc w:val="right"/>
              <w:rPr>
                <w:rFonts w:asciiTheme="minorHAnsi" w:hAnsiTheme="minorHAnsi" w:cstheme="minorHAnsi"/>
                <w:color w:val="000000"/>
                <w:sz w:val="16"/>
                <w:szCs w:val="16"/>
              </w:rPr>
            </w:pP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top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Current assets</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p>
        </w:tc>
      </w:tr>
      <w:tr w:rsidR="00CF7FE2" w:rsidRPr="006D0DA3" w:rsidTr="00BF1C78">
        <w:trPr>
          <w:trHeight w:val="254"/>
        </w:trPr>
        <w:tc>
          <w:tcPr>
            <w:tcW w:w="2192" w:type="pct"/>
            <w:noWrap/>
            <w:vAlign w:val="bottom"/>
          </w:tcPr>
          <w:p w:rsidR="00CF7FE2" w:rsidRPr="006D0DA3" w:rsidRDefault="00CF7FE2" w:rsidP="009906A1">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Inventories</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CF7FE2" w:rsidP="00BA3BE8">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205</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463</w:t>
            </w:r>
          </w:p>
        </w:tc>
      </w:tr>
      <w:tr w:rsidR="00CF7FE2" w:rsidRPr="006D0DA3" w:rsidTr="00BF1C78">
        <w:trPr>
          <w:trHeight w:val="254"/>
        </w:trPr>
        <w:tc>
          <w:tcPr>
            <w:tcW w:w="2192" w:type="pct"/>
            <w:noWrap/>
            <w:vAlign w:val="bottom"/>
          </w:tcPr>
          <w:p w:rsidR="00CF7FE2" w:rsidRPr="006D0DA3" w:rsidRDefault="00CF7FE2" w:rsidP="005F2283">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Trade </w:t>
            </w:r>
            <w:r>
              <w:rPr>
                <w:rFonts w:asciiTheme="minorHAnsi" w:hAnsiTheme="minorHAnsi" w:cstheme="minorHAnsi"/>
                <w:color w:val="000000"/>
                <w:sz w:val="16"/>
                <w:szCs w:val="16"/>
              </w:rPr>
              <w:t>r</w:t>
            </w:r>
            <w:r w:rsidRPr="006D0DA3">
              <w:rPr>
                <w:rFonts w:asciiTheme="minorHAnsi" w:hAnsiTheme="minorHAnsi" w:cstheme="minorHAnsi"/>
                <w:color w:val="000000"/>
                <w:sz w:val="16"/>
                <w:szCs w:val="16"/>
              </w:rPr>
              <w:t>eceivables</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CF7FE2" w:rsidP="00FC326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1,6</w:t>
            </w:r>
            <w:r w:rsidR="00FC3267">
              <w:rPr>
                <w:rFonts w:asciiTheme="minorHAnsi" w:hAnsiTheme="minorHAnsi" w:cstheme="minorHAnsi"/>
                <w:color w:val="000000"/>
                <w:sz w:val="16"/>
                <w:szCs w:val="16"/>
              </w:rPr>
              <w:t>31</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641</w:t>
            </w:r>
          </w:p>
        </w:tc>
      </w:tr>
      <w:tr w:rsidR="00CF7FE2" w:rsidRPr="006D0DA3" w:rsidTr="00BF1C78">
        <w:trPr>
          <w:trHeight w:val="254"/>
        </w:trPr>
        <w:tc>
          <w:tcPr>
            <w:tcW w:w="2192" w:type="pct"/>
            <w:noWrap/>
            <w:vAlign w:val="bottom"/>
          </w:tcPr>
          <w:p w:rsidR="00CF7FE2" w:rsidRPr="006D0DA3" w:rsidRDefault="00CF7FE2" w:rsidP="004D134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Other receivables, deposits and prepayment</w:t>
            </w:r>
            <w:r>
              <w:rPr>
                <w:rFonts w:asciiTheme="minorHAnsi" w:hAnsiTheme="minorHAnsi" w:cstheme="minorHAnsi"/>
                <w:color w:val="000000"/>
                <w:sz w:val="16"/>
                <w:szCs w:val="16"/>
              </w:rPr>
              <w:t xml:space="preserve"> </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FC3267" w:rsidP="00FC326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5,109</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1,632</w:t>
            </w:r>
          </w:p>
        </w:tc>
      </w:tr>
      <w:tr w:rsidR="00CF7FE2" w:rsidRPr="006D0DA3" w:rsidTr="00BF1C78">
        <w:trPr>
          <w:trHeight w:val="254"/>
        </w:trPr>
        <w:tc>
          <w:tcPr>
            <w:tcW w:w="2192" w:type="pct"/>
            <w:noWrap/>
            <w:vAlign w:val="bottom"/>
          </w:tcPr>
          <w:p w:rsidR="00CF7FE2" w:rsidRPr="006D0DA3" w:rsidRDefault="00CF7FE2" w:rsidP="00BA3BE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Amount owing by</w:t>
            </w:r>
            <w:r>
              <w:rPr>
                <w:rFonts w:asciiTheme="minorHAnsi" w:hAnsiTheme="minorHAnsi" w:cstheme="minorHAnsi"/>
                <w:color w:val="000000"/>
                <w:sz w:val="16"/>
                <w:szCs w:val="16"/>
              </w:rPr>
              <w:t xml:space="preserve"> the then </w:t>
            </w:r>
            <w:r w:rsidRPr="006D0DA3">
              <w:rPr>
                <w:rFonts w:asciiTheme="minorHAnsi" w:hAnsiTheme="minorHAnsi" w:cstheme="minorHAnsi"/>
                <w:color w:val="000000"/>
                <w:sz w:val="16"/>
                <w:szCs w:val="16"/>
              </w:rPr>
              <w:t xml:space="preserve"> </w:t>
            </w:r>
            <w:r>
              <w:rPr>
                <w:rFonts w:asciiTheme="minorHAnsi" w:hAnsiTheme="minorHAnsi" w:cstheme="minorHAnsi"/>
                <w:color w:val="000000"/>
                <w:sz w:val="16"/>
                <w:szCs w:val="16"/>
              </w:rPr>
              <w:t>related company</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CF7FE2" w:rsidP="00000B9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43</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w:t>
            </w:r>
          </w:p>
        </w:tc>
      </w:tr>
      <w:tr w:rsidR="00CF7FE2" w:rsidRPr="006D0DA3" w:rsidTr="00BF1C78">
        <w:trPr>
          <w:trHeight w:val="254"/>
        </w:trPr>
        <w:tc>
          <w:tcPr>
            <w:tcW w:w="2192" w:type="pct"/>
            <w:noWrap/>
            <w:vAlign w:val="bottom"/>
          </w:tcPr>
          <w:p w:rsidR="00CF7FE2" w:rsidRPr="006D0DA3" w:rsidRDefault="00CF7FE2" w:rsidP="009906A1">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Tax recoverable</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CF7FE2" w:rsidP="00207CAA">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2</w:t>
            </w:r>
          </w:p>
        </w:tc>
      </w:tr>
      <w:tr w:rsidR="00CF7FE2" w:rsidRPr="006D0DA3" w:rsidTr="00BF1C78">
        <w:trPr>
          <w:trHeight w:val="254"/>
        </w:trPr>
        <w:tc>
          <w:tcPr>
            <w:tcW w:w="2192" w:type="pct"/>
            <w:noWrap/>
            <w:vAlign w:val="bottom"/>
          </w:tcPr>
          <w:p w:rsidR="00CF7FE2" w:rsidRPr="006D0DA3" w:rsidRDefault="00CF7FE2" w:rsidP="000D5D59">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Cash and bank balances</w:t>
            </w:r>
          </w:p>
          <w:p w:rsidR="00CF7FE2" w:rsidRPr="006D0DA3" w:rsidRDefault="00CF7FE2" w:rsidP="000D5D59">
            <w:pPr>
              <w:spacing w:after="0" w:line="240" w:lineRule="auto"/>
              <w:rPr>
                <w:rFonts w:asciiTheme="minorHAnsi" w:hAnsiTheme="minorHAnsi" w:cstheme="minorHAnsi"/>
                <w:color w:val="000000"/>
                <w:sz w:val="16"/>
                <w:szCs w:val="16"/>
              </w:rPr>
            </w:pPr>
          </w:p>
        </w:tc>
        <w:tc>
          <w:tcPr>
            <w:tcW w:w="162" w:type="pct"/>
          </w:tcPr>
          <w:p w:rsidR="00CF7FE2" w:rsidRPr="006D0DA3" w:rsidRDefault="00CF7FE2" w:rsidP="000D5D59">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FC3267" w:rsidP="002919BA">
            <w:pPr>
              <w:pBdr>
                <w:bottom w:val="single" w:sz="4" w:space="1" w:color="auto"/>
              </w:pBd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3,875</w:t>
            </w:r>
          </w:p>
          <w:p w:rsidR="00CF7FE2" w:rsidRPr="006D0DA3" w:rsidRDefault="002D2AA9" w:rsidP="002D2AA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10,864</w:t>
            </w:r>
          </w:p>
        </w:tc>
        <w:tc>
          <w:tcPr>
            <w:tcW w:w="301" w:type="pct"/>
          </w:tcPr>
          <w:p w:rsidR="00CF7FE2" w:rsidRPr="006D0DA3" w:rsidRDefault="00CF7FE2" w:rsidP="000D5D59">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0D5D59">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pBdr>
                <w:bottom w:val="single" w:sz="4" w:space="1" w:color="auto"/>
              </w:pBd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2,627</w:t>
            </w:r>
          </w:p>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5,365</w:t>
            </w:r>
          </w:p>
        </w:tc>
      </w:tr>
      <w:tr w:rsidR="00CF7FE2" w:rsidRPr="006D0DA3" w:rsidTr="00BF1C78">
        <w:trPr>
          <w:trHeight w:val="254"/>
        </w:trPr>
        <w:tc>
          <w:tcPr>
            <w:tcW w:w="2192" w:type="pct"/>
            <w:noWrap/>
            <w:vAlign w:val="bottom"/>
          </w:tcPr>
          <w:p w:rsidR="00CF7FE2" w:rsidRPr="006D0DA3" w:rsidRDefault="00CF7FE2" w:rsidP="005A6595">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Asset</w:t>
            </w:r>
            <w:r>
              <w:rPr>
                <w:rFonts w:asciiTheme="minorHAnsi" w:hAnsiTheme="minorHAnsi" w:cstheme="minorHAnsi"/>
                <w:color w:val="000000"/>
                <w:sz w:val="16"/>
                <w:szCs w:val="16"/>
              </w:rPr>
              <w:t>s</w:t>
            </w:r>
            <w:r w:rsidRPr="006D0DA3">
              <w:rPr>
                <w:rFonts w:asciiTheme="minorHAnsi" w:hAnsiTheme="minorHAnsi" w:cstheme="minorHAnsi"/>
                <w:color w:val="000000"/>
                <w:sz w:val="16"/>
                <w:szCs w:val="16"/>
              </w:rPr>
              <w:t xml:space="preserve"> classified as held for sale</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bottom w:val="single" w:sz="4" w:space="0" w:color="auto"/>
            </w:tcBorders>
            <w:noWrap/>
            <w:vAlign w:val="bottom"/>
          </w:tcPr>
          <w:p w:rsidR="00CF7FE2" w:rsidRPr="006D0DA3" w:rsidRDefault="00CF7FE2" w:rsidP="00207CAA">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5,000</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bottom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6,187</w:t>
            </w: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color w:val="000000"/>
                <w:sz w:val="16"/>
                <w:szCs w:val="16"/>
              </w:rPr>
            </w:pP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top w:val="single" w:sz="4" w:space="0" w:color="auto"/>
              <w:bottom w:val="single" w:sz="4" w:space="0" w:color="auto"/>
            </w:tcBorders>
            <w:noWrap/>
            <w:vAlign w:val="bottom"/>
          </w:tcPr>
          <w:p w:rsidR="00CF7FE2" w:rsidRPr="006D0DA3" w:rsidRDefault="00CF7FE2" w:rsidP="002D2AA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w:t>
            </w:r>
            <w:r w:rsidR="002D2AA9">
              <w:rPr>
                <w:rFonts w:asciiTheme="minorHAnsi" w:hAnsiTheme="minorHAnsi" w:cstheme="minorHAnsi"/>
                <w:color w:val="000000"/>
                <w:sz w:val="16"/>
                <w:szCs w:val="16"/>
              </w:rPr>
              <w:t>5,864</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top w:val="single" w:sz="4" w:space="0" w:color="auto"/>
              <w:bottom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11,552</w:t>
            </w: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Total Assets</w:t>
            </w:r>
          </w:p>
        </w:tc>
        <w:tc>
          <w:tcPr>
            <w:tcW w:w="162" w:type="pct"/>
          </w:tcPr>
          <w:p w:rsidR="00CF7FE2" w:rsidRPr="006D0DA3" w:rsidRDefault="00CF7FE2" w:rsidP="00223B18">
            <w:pPr>
              <w:spacing w:after="0" w:line="240" w:lineRule="auto"/>
              <w:jc w:val="right"/>
              <w:rPr>
                <w:rFonts w:asciiTheme="minorHAnsi" w:hAnsiTheme="minorHAnsi" w:cstheme="minorHAnsi"/>
                <w:b/>
                <w:color w:val="000000"/>
                <w:sz w:val="16"/>
                <w:szCs w:val="16"/>
              </w:rPr>
            </w:pPr>
          </w:p>
        </w:tc>
        <w:tc>
          <w:tcPr>
            <w:tcW w:w="1049" w:type="pct"/>
            <w:tcBorders>
              <w:top w:val="single" w:sz="4" w:space="0" w:color="auto"/>
              <w:bottom w:val="double" w:sz="4" w:space="0" w:color="auto"/>
            </w:tcBorders>
            <w:noWrap/>
            <w:vAlign w:val="bottom"/>
          </w:tcPr>
          <w:p w:rsidR="00CF7FE2" w:rsidRPr="006D0DA3" w:rsidRDefault="002D2AA9" w:rsidP="002D2AA9">
            <w:pPr>
              <w:spacing w:after="0" w:line="240" w:lineRule="auto"/>
              <w:jc w:val="right"/>
              <w:rPr>
                <w:rFonts w:asciiTheme="minorHAnsi" w:hAnsiTheme="minorHAnsi" w:cstheme="minorHAnsi"/>
                <w:b/>
                <w:color w:val="000000"/>
                <w:sz w:val="16"/>
                <w:szCs w:val="16"/>
              </w:rPr>
            </w:pPr>
            <w:r>
              <w:rPr>
                <w:rFonts w:asciiTheme="minorHAnsi" w:hAnsiTheme="minorHAnsi" w:cstheme="minorHAnsi"/>
                <w:b/>
                <w:color w:val="000000"/>
                <w:sz w:val="16"/>
                <w:szCs w:val="16"/>
              </w:rPr>
              <w:t>20,110</w:t>
            </w:r>
          </w:p>
        </w:tc>
        <w:tc>
          <w:tcPr>
            <w:tcW w:w="301" w:type="pct"/>
          </w:tcPr>
          <w:p w:rsidR="00CF7FE2" w:rsidRPr="006D0DA3" w:rsidRDefault="00CF7FE2" w:rsidP="00223B18">
            <w:pPr>
              <w:spacing w:after="0" w:line="240" w:lineRule="auto"/>
              <w:jc w:val="right"/>
              <w:rPr>
                <w:rFonts w:asciiTheme="minorHAnsi" w:hAnsiTheme="minorHAnsi" w:cstheme="minorHAnsi"/>
                <w:b/>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b/>
                <w:color w:val="000000"/>
                <w:sz w:val="16"/>
                <w:szCs w:val="16"/>
              </w:rPr>
            </w:pPr>
          </w:p>
        </w:tc>
        <w:tc>
          <w:tcPr>
            <w:tcW w:w="965" w:type="pct"/>
            <w:tcBorders>
              <w:top w:val="single" w:sz="4" w:space="0" w:color="auto"/>
              <w:bottom w:val="double" w:sz="4" w:space="0" w:color="auto"/>
            </w:tcBorders>
            <w:vAlign w:val="bottom"/>
          </w:tcPr>
          <w:p w:rsidR="00CF7FE2" w:rsidRPr="00CF7FE2" w:rsidRDefault="00CF7FE2" w:rsidP="002505E4">
            <w:pPr>
              <w:spacing w:after="0" w:line="240" w:lineRule="auto"/>
              <w:jc w:val="right"/>
              <w:rPr>
                <w:rFonts w:asciiTheme="minorHAnsi" w:hAnsiTheme="minorHAnsi" w:cstheme="minorHAnsi"/>
                <w:b/>
                <w:color w:val="000000"/>
                <w:sz w:val="16"/>
                <w:szCs w:val="16"/>
              </w:rPr>
            </w:pPr>
            <w:r w:rsidRPr="00CF7FE2">
              <w:rPr>
                <w:rFonts w:asciiTheme="minorHAnsi" w:hAnsiTheme="minorHAnsi" w:cstheme="minorHAnsi"/>
                <w:b/>
                <w:color w:val="000000"/>
                <w:sz w:val="16"/>
                <w:szCs w:val="16"/>
              </w:rPr>
              <w:t>19,359</w:t>
            </w:r>
          </w:p>
        </w:tc>
      </w:tr>
      <w:tr w:rsidR="00CF7FE2" w:rsidRPr="006D0DA3" w:rsidTr="00BF1C78">
        <w:trPr>
          <w:trHeight w:val="254"/>
        </w:trPr>
        <w:tc>
          <w:tcPr>
            <w:tcW w:w="2192" w:type="pct"/>
            <w:noWrap/>
            <w:vAlign w:val="bottom"/>
          </w:tcPr>
          <w:p w:rsidR="00CF7FE2" w:rsidRPr="006D0DA3" w:rsidRDefault="00CF7FE2" w:rsidP="00A3198A">
            <w:pPr>
              <w:spacing w:after="0" w:line="240" w:lineRule="auto"/>
              <w:rPr>
                <w:rFonts w:asciiTheme="minorHAnsi" w:hAnsiTheme="minorHAnsi" w:cstheme="minorHAnsi"/>
                <w:color w:val="000000"/>
                <w:sz w:val="16"/>
                <w:szCs w:val="16"/>
              </w:rPr>
            </w:pPr>
          </w:p>
        </w:tc>
        <w:tc>
          <w:tcPr>
            <w:tcW w:w="162" w:type="pct"/>
          </w:tcPr>
          <w:p w:rsidR="00CF7FE2" w:rsidRPr="006D0DA3" w:rsidRDefault="00CF7FE2" w:rsidP="00223B18">
            <w:pPr>
              <w:spacing w:after="0" w:line="240" w:lineRule="auto"/>
              <w:jc w:val="center"/>
              <w:rPr>
                <w:rFonts w:asciiTheme="minorHAnsi" w:hAnsiTheme="minorHAnsi" w:cstheme="minorHAnsi"/>
                <w:color w:val="000000"/>
                <w:sz w:val="16"/>
                <w:szCs w:val="16"/>
              </w:rPr>
            </w:pPr>
          </w:p>
        </w:tc>
        <w:tc>
          <w:tcPr>
            <w:tcW w:w="1049" w:type="pct"/>
            <w:tcBorders>
              <w:top w:val="double" w:sz="4" w:space="0" w:color="auto"/>
            </w:tcBorders>
            <w:noWrap/>
            <w:vAlign w:val="bottom"/>
          </w:tcPr>
          <w:p w:rsidR="00CF7FE2" w:rsidRPr="006D0DA3" w:rsidRDefault="00CF7FE2" w:rsidP="00A3198A">
            <w:pPr>
              <w:spacing w:after="0" w:line="240" w:lineRule="auto"/>
              <w:jc w:val="right"/>
              <w:rPr>
                <w:rFonts w:asciiTheme="minorHAnsi" w:hAnsiTheme="minorHAnsi" w:cstheme="minorHAnsi"/>
                <w:color w:val="000000"/>
                <w:sz w:val="16"/>
                <w:szCs w:val="16"/>
              </w:rPr>
            </w:pPr>
          </w:p>
        </w:tc>
        <w:tc>
          <w:tcPr>
            <w:tcW w:w="301" w:type="pct"/>
          </w:tcPr>
          <w:p w:rsidR="00CF7FE2" w:rsidRPr="006D0DA3" w:rsidRDefault="00CF7FE2" w:rsidP="00223B18">
            <w:pPr>
              <w:spacing w:after="0" w:line="240" w:lineRule="auto"/>
              <w:jc w:val="center"/>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center"/>
              <w:rPr>
                <w:rFonts w:asciiTheme="minorHAnsi" w:hAnsiTheme="minorHAnsi" w:cstheme="minorHAnsi"/>
                <w:color w:val="000000"/>
                <w:sz w:val="16"/>
                <w:szCs w:val="16"/>
              </w:rPr>
            </w:pPr>
          </w:p>
        </w:tc>
        <w:tc>
          <w:tcPr>
            <w:tcW w:w="965" w:type="pct"/>
            <w:tcBorders>
              <w:top w:val="double" w:sz="4" w:space="0" w:color="auto"/>
            </w:tcBorders>
            <w:vAlign w:val="bottom"/>
          </w:tcPr>
          <w:p w:rsidR="00CF7FE2" w:rsidRPr="00CF7FE2" w:rsidRDefault="00CF7FE2" w:rsidP="002505E4">
            <w:pPr>
              <w:spacing w:after="0" w:line="240" w:lineRule="auto"/>
              <w:jc w:val="center"/>
              <w:rPr>
                <w:rFonts w:asciiTheme="minorHAnsi" w:hAnsiTheme="minorHAnsi" w:cstheme="minorHAnsi"/>
                <w:color w:val="000000"/>
                <w:sz w:val="16"/>
                <w:szCs w:val="16"/>
              </w:rPr>
            </w:pP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color w:val="000000"/>
                <w:sz w:val="16"/>
                <w:szCs w:val="16"/>
              </w:rPr>
            </w:pPr>
          </w:p>
        </w:tc>
        <w:tc>
          <w:tcPr>
            <w:tcW w:w="162" w:type="pct"/>
          </w:tcPr>
          <w:p w:rsidR="00CF7FE2" w:rsidRPr="006D0DA3" w:rsidRDefault="00CF7FE2" w:rsidP="00223B18">
            <w:pPr>
              <w:spacing w:after="0" w:line="240" w:lineRule="auto"/>
              <w:jc w:val="center"/>
              <w:rPr>
                <w:rFonts w:asciiTheme="minorHAnsi" w:hAnsiTheme="minorHAnsi" w:cstheme="minorHAnsi"/>
                <w:color w:val="000000"/>
                <w:sz w:val="16"/>
                <w:szCs w:val="16"/>
              </w:rPr>
            </w:pPr>
          </w:p>
        </w:tc>
        <w:tc>
          <w:tcPr>
            <w:tcW w:w="1049" w:type="pct"/>
            <w:noWrap/>
            <w:vAlign w:val="bottom"/>
          </w:tcPr>
          <w:p w:rsidR="00CF7FE2" w:rsidRPr="006D0DA3" w:rsidRDefault="00CF7FE2" w:rsidP="00223B18">
            <w:pPr>
              <w:spacing w:after="0" w:line="240" w:lineRule="auto"/>
              <w:jc w:val="center"/>
              <w:rPr>
                <w:rFonts w:asciiTheme="minorHAnsi" w:hAnsiTheme="minorHAnsi" w:cstheme="minorHAnsi"/>
                <w:color w:val="000000"/>
                <w:sz w:val="16"/>
                <w:szCs w:val="16"/>
              </w:rPr>
            </w:pPr>
          </w:p>
        </w:tc>
        <w:tc>
          <w:tcPr>
            <w:tcW w:w="301" w:type="pct"/>
          </w:tcPr>
          <w:p w:rsidR="00CF7FE2" w:rsidRPr="006D0DA3" w:rsidRDefault="00CF7FE2" w:rsidP="00223B18">
            <w:pPr>
              <w:spacing w:after="0" w:line="240" w:lineRule="auto"/>
              <w:jc w:val="center"/>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center"/>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center"/>
              <w:rPr>
                <w:rFonts w:asciiTheme="minorHAnsi" w:hAnsiTheme="minorHAnsi" w:cstheme="minorHAnsi"/>
                <w:b/>
                <w:color w:val="000000"/>
                <w:sz w:val="16"/>
                <w:szCs w:val="16"/>
              </w:rPr>
            </w:pP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EQUITY AND LIABILITIES</w:t>
            </w:r>
          </w:p>
        </w:tc>
        <w:tc>
          <w:tcPr>
            <w:tcW w:w="162"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1049" w:type="pct"/>
            <w:noWrap/>
            <w:vAlign w:val="bottom"/>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301"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331"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965" w:type="pct"/>
            <w:vAlign w:val="bottom"/>
          </w:tcPr>
          <w:p w:rsidR="00CF7FE2" w:rsidRPr="00CF7FE2" w:rsidRDefault="00CF7FE2" w:rsidP="002505E4">
            <w:pPr>
              <w:spacing w:after="0" w:line="240" w:lineRule="auto"/>
              <w:jc w:val="center"/>
              <w:rPr>
                <w:rFonts w:asciiTheme="minorHAnsi" w:hAnsiTheme="minorHAnsi" w:cstheme="minorHAnsi"/>
                <w:b/>
                <w:color w:val="000000"/>
                <w:sz w:val="16"/>
                <w:szCs w:val="16"/>
              </w:rPr>
            </w:pP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b/>
                <w:color w:val="000000"/>
                <w:sz w:val="16"/>
                <w:szCs w:val="16"/>
              </w:rPr>
            </w:pPr>
          </w:p>
        </w:tc>
        <w:tc>
          <w:tcPr>
            <w:tcW w:w="162"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1049" w:type="pct"/>
            <w:noWrap/>
            <w:vAlign w:val="bottom"/>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301"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331"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965" w:type="pct"/>
            <w:vAlign w:val="bottom"/>
          </w:tcPr>
          <w:p w:rsidR="00CF7FE2" w:rsidRPr="00CF7FE2" w:rsidRDefault="00CF7FE2" w:rsidP="002505E4">
            <w:pPr>
              <w:spacing w:after="0" w:line="240" w:lineRule="auto"/>
              <w:jc w:val="center"/>
              <w:rPr>
                <w:rFonts w:asciiTheme="minorHAnsi" w:hAnsiTheme="minorHAnsi" w:cstheme="minorHAnsi"/>
                <w:b/>
                <w:color w:val="000000"/>
                <w:sz w:val="16"/>
                <w:szCs w:val="16"/>
              </w:rPr>
            </w:pP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Equity Attributable to Equity Holders of the Company</w:t>
            </w:r>
          </w:p>
        </w:tc>
        <w:tc>
          <w:tcPr>
            <w:tcW w:w="162"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1049" w:type="pct"/>
            <w:noWrap/>
            <w:vAlign w:val="bottom"/>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301"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331"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p>
        </w:tc>
      </w:tr>
      <w:tr w:rsidR="00CF7FE2" w:rsidRPr="006D0DA3" w:rsidTr="00BF1C78">
        <w:trPr>
          <w:trHeight w:val="254"/>
        </w:trPr>
        <w:tc>
          <w:tcPr>
            <w:tcW w:w="2192" w:type="pct"/>
            <w:noWrap/>
            <w:vAlign w:val="bottom"/>
          </w:tcPr>
          <w:p w:rsidR="00CF7FE2" w:rsidRPr="006D0DA3" w:rsidRDefault="00CF7FE2" w:rsidP="009906A1">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Share capital</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CF7FE2" w:rsidP="00FF4DD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3</w:t>
            </w:r>
            <w:r w:rsidR="00FF4DD4">
              <w:rPr>
                <w:rFonts w:asciiTheme="minorHAnsi" w:hAnsiTheme="minorHAnsi" w:cstheme="minorHAnsi"/>
                <w:color w:val="000000"/>
                <w:sz w:val="16"/>
                <w:szCs w:val="16"/>
              </w:rPr>
              <w:t>4,6</w:t>
            </w:r>
            <w:r>
              <w:rPr>
                <w:rFonts w:asciiTheme="minorHAnsi" w:hAnsiTheme="minorHAnsi" w:cstheme="minorHAnsi"/>
                <w:color w:val="000000"/>
                <w:sz w:val="16"/>
                <w:szCs w:val="16"/>
              </w:rPr>
              <w:t>76</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28,326</w:t>
            </w:r>
          </w:p>
        </w:tc>
      </w:tr>
      <w:tr w:rsidR="00CF7FE2" w:rsidRPr="006D0DA3" w:rsidTr="00BF1C78">
        <w:trPr>
          <w:trHeight w:val="254"/>
        </w:trPr>
        <w:tc>
          <w:tcPr>
            <w:tcW w:w="2192" w:type="pct"/>
            <w:noWrap/>
            <w:vAlign w:val="bottom"/>
          </w:tcPr>
          <w:p w:rsidR="00CF7FE2" w:rsidRPr="006D0DA3" w:rsidRDefault="00CF7FE2" w:rsidP="009906A1">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Accumulated losses</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CF7FE2" w:rsidP="002D2AA9">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Pr>
                <w:rFonts w:asciiTheme="minorHAnsi" w:hAnsiTheme="minorHAnsi" w:cstheme="minorHAnsi"/>
                <w:color w:val="000000"/>
                <w:sz w:val="16"/>
                <w:szCs w:val="16"/>
              </w:rPr>
              <w:t>3</w:t>
            </w:r>
            <w:r w:rsidR="002D2AA9">
              <w:rPr>
                <w:rFonts w:asciiTheme="minorHAnsi" w:hAnsiTheme="minorHAnsi" w:cstheme="minorHAnsi"/>
                <w:color w:val="000000"/>
                <w:sz w:val="16"/>
                <w:szCs w:val="16"/>
              </w:rPr>
              <w:t>4,188</w:t>
            </w:r>
            <w:r w:rsidRPr="006D0DA3">
              <w:rPr>
                <w:rFonts w:asciiTheme="minorHAnsi" w:hAnsiTheme="minorHAnsi" w:cstheme="minorHAnsi"/>
                <w:color w:val="000000"/>
                <w:sz w:val="16"/>
                <w:szCs w:val="16"/>
              </w:rPr>
              <w:t>)</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(30,790)</w:t>
            </w:r>
          </w:p>
        </w:tc>
      </w:tr>
      <w:tr w:rsidR="00CF7FE2" w:rsidRPr="006D0DA3" w:rsidTr="00BF1C78">
        <w:trPr>
          <w:trHeight w:val="254"/>
        </w:trPr>
        <w:tc>
          <w:tcPr>
            <w:tcW w:w="2192" w:type="pct"/>
            <w:noWrap/>
            <w:vAlign w:val="bottom"/>
          </w:tcPr>
          <w:p w:rsidR="00CF7FE2" w:rsidRPr="006D0DA3" w:rsidRDefault="00CF7FE2" w:rsidP="009906A1">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Reserves</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bottom w:val="single" w:sz="4" w:space="0" w:color="auto"/>
            </w:tcBorders>
            <w:noWrap/>
            <w:vAlign w:val="bottom"/>
          </w:tcPr>
          <w:p w:rsidR="00CF7FE2" w:rsidRPr="006D0DA3" w:rsidRDefault="00FF4DD4" w:rsidP="00FF4DD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18,0</w:t>
            </w:r>
            <w:r w:rsidR="00CF7FE2">
              <w:rPr>
                <w:rFonts w:asciiTheme="minorHAnsi" w:hAnsiTheme="minorHAnsi" w:cstheme="minorHAnsi"/>
                <w:color w:val="000000"/>
                <w:sz w:val="16"/>
                <w:szCs w:val="16"/>
              </w:rPr>
              <w:t>70</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bottom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17,449</w:t>
            </w:r>
          </w:p>
        </w:tc>
      </w:tr>
      <w:tr w:rsidR="00CF7FE2" w:rsidRPr="006D0DA3" w:rsidTr="00BF1C78">
        <w:trPr>
          <w:trHeight w:val="254"/>
        </w:trPr>
        <w:tc>
          <w:tcPr>
            <w:tcW w:w="2192" w:type="pct"/>
            <w:noWrap/>
            <w:vAlign w:val="bottom"/>
          </w:tcPr>
          <w:p w:rsidR="00CF7FE2" w:rsidRPr="006D0DA3" w:rsidRDefault="00CF7FE2" w:rsidP="009906A1">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Shareholders' funds</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top w:val="single" w:sz="4" w:space="0" w:color="auto"/>
            </w:tcBorders>
            <w:noWrap/>
            <w:vAlign w:val="bottom"/>
          </w:tcPr>
          <w:p w:rsidR="00CF7FE2" w:rsidRPr="006D0DA3" w:rsidRDefault="002D2AA9" w:rsidP="00000B9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18,558</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top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14,985</w:t>
            </w:r>
          </w:p>
        </w:tc>
      </w:tr>
      <w:tr w:rsidR="00CF7FE2" w:rsidRPr="006D0DA3" w:rsidTr="00BF1C78">
        <w:trPr>
          <w:trHeight w:val="254"/>
        </w:trPr>
        <w:tc>
          <w:tcPr>
            <w:tcW w:w="2192" w:type="pct"/>
            <w:noWrap/>
            <w:vAlign w:val="bottom"/>
          </w:tcPr>
          <w:p w:rsidR="00CF7FE2" w:rsidRPr="006D0DA3" w:rsidRDefault="00CF7FE2" w:rsidP="009906A1">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Non-controlling interests</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bottom w:val="single" w:sz="4" w:space="0" w:color="auto"/>
            </w:tcBorders>
            <w:noWrap/>
            <w:vAlign w:val="bottom"/>
          </w:tcPr>
          <w:p w:rsidR="00CF7FE2" w:rsidRPr="006D0DA3" w:rsidRDefault="00CF7FE2" w:rsidP="00117300">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bottom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(123)</w:t>
            </w: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Total Equity</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bottom w:val="single" w:sz="4" w:space="0" w:color="auto"/>
            </w:tcBorders>
            <w:noWrap/>
            <w:vAlign w:val="bottom"/>
          </w:tcPr>
          <w:p w:rsidR="00CF7FE2" w:rsidRPr="006D0DA3" w:rsidRDefault="00CF7FE2" w:rsidP="002D2AA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w:t>
            </w:r>
            <w:r w:rsidR="002D2AA9">
              <w:rPr>
                <w:rFonts w:asciiTheme="minorHAnsi" w:hAnsiTheme="minorHAnsi" w:cstheme="minorHAnsi"/>
                <w:color w:val="000000"/>
                <w:sz w:val="16"/>
                <w:szCs w:val="16"/>
              </w:rPr>
              <w:t>8,558</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bottom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14,862</w:t>
            </w: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color w:val="000000"/>
                <w:sz w:val="16"/>
                <w:szCs w:val="16"/>
              </w:rPr>
            </w:pPr>
          </w:p>
        </w:tc>
        <w:tc>
          <w:tcPr>
            <w:tcW w:w="162" w:type="pct"/>
          </w:tcPr>
          <w:p w:rsidR="00CF7FE2" w:rsidRPr="006D0DA3" w:rsidRDefault="00CF7FE2" w:rsidP="00223B18">
            <w:pPr>
              <w:spacing w:after="0" w:line="240" w:lineRule="auto"/>
              <w:jc w:val="center"/>
              <w:rPr>
                <w:rFonts w:asciiTheme="minorHAnsi" w:hAnsiTheme="minorHAnsi" w:cstheme="minorHAnsi"/>
                <w:color w:val="000000"/>
                <w:sz w:val="16"/>
                <w:szCs w:val="16"/>
              </w:rPr>
            </w:pPr>
          </w:p>
        </w:tc>
        <w:tc>
          <w:tcPr>
            <w:tcW w:w="1049" w:type="pct"/>
            <w:tcBorders>
              <w:top w:val="single" w:sz="4" w:space="0" w:color="auto"/>
            </w:tcBorders>
            <w:noWrap/>
            <w:vAlign w:val="bottom"/>
          </w:tcPr>
          <w:p w:rsidR="00CF7FE2" w:rsidRPr="006D0DA3" w:rsidRDefault="00CF7FE2" w:rsidP="00A3198A">
            <w:pPr>
              <w:spacing w:after="0" w:line="240" w:lineRule="auto"/>
              <w:jc w:val="right"/>
              <w:rPr>
                <w:rFonts w:asciiTheme="minorHAnsi" w:hAnsiTheme="minorHAnsi" w:cstheme="minorHAnsi"/>
                <w:color w:val="000000"/>
                <w:sz w:val="16"/>
                <w:szCs w:val="16"/>
              </w:rPr>
            </w:pPr>
          </w:p>
        </w:tc>
        <w:tc>
          <w:tcPr>
            <w:tcW w:w="301" w:type="pct"/>
          </w:tcPr>
          <w:p w:rsidR="00CF7FE2" w:rsidRPr="006D0DA3" w:rsidRDefault="00CF7FE2" w:rsidP="00223B18">
            <w:pPr>
              <w:spacing w:after="0" w:line="240" w:lineRule="auto"/>
              <w:jc w:val="center"/>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center"/>
              <w:rPr>
                <w:rFonts w:asciiTheme="minorHAnsi" w:hAnsiTheme="minorHAnsi" w:cstheme="minorHAnsi"/>
                <w:color w:val="000000"/>
                <w:sz w:val="16"/>
                <w:szCs w:val="16"/>
              </w:rPr>
            </w:pPr>
          </w:p>
        </w:tc>
        <w:tc>
          <w:tcPr>
            <w:tcW w:w="965" w:type="pct"/>
            <w:tcBorders>
              <w:top w:val="single" w:sz="4" w:space="0" w:color="auto"/>
            </w:tcBorders>
            <w:vAlign w:val="bottom"/>
          </w:tcPr>
          <w:p w:rsidR="00CF7FE2" w:rsidRPr="00CF7FE2" w:rsidRDefault="00CF7FE2" w:rsidP="002505E4">
            <w:pPr>
              <w:spacing w:after="0" w:line="240" w:lineRule="auto"/>
              <w:jc w:val="center"/>
              <w:rPr>
                <w:rFonts w:asciiTheme="minorHAnsi" w:hAnsiTheme="minorHAnsi" w:cstheme="minorHAnsi"/>
                <w:b/>
                <w:color w:val="000000"/>
                <w:sz w:val="16"/>
                <w:szCs w:val="16"/>
              </w:rPr>
            </w:pP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Current liabilities</w:t>
            </w:r>
          </w:p>
        </w:tc>
        <w:tc>
          <w:tcPr>
            <w:tcW w:w="162"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1049" w:type="pct"/>
            <w:noWrap/>
            <w:vAlign w:val="bottom"/>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301"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331" w:type="pct"/>
          </w:tcPr>
          <w:p w:rsidR="00CF7FE2" w:rsidRPr="006D0DA3" w:rsidRDefault="00CF7FE2" w:rsidP="00223B18">
            <w:pPr>
              <w:spacing w:after="0" w:line="240" w:lineRule="auto"/>
              <w:jc w:val="center"/>
              <w:rPr>
                <w:rFonts w:asciiTheme="minorHAnsi" w:hAnsiTheme="minorHAnsi" w:cstheme="minorHAnsi"/>
                <w:b/>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p>
        </w:tc>
      </w:tr>
      <w:tr w:rsidR="00CF7FE2" w:rsidRPr="006D0DA3" w:rsidTr="00BA3BE8">
        <w:trPr>
          <w:trHeight w:val="254"/>
        </w:trPr>
        <w:tc>
          <w:tcPr>
            <w:tcW w:w="2192" w:type="pct"/>
            <w:noWrap/>
            <w:vAlign w:val="bottom"/>
          </w:tcPr>
          <w:p w:rsidR="00CF7FE2" w:rsidRPr="006D0DA3" w:rsidRDefault="00CF7FE2" w:rsidP="009906A1">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Trade Payables</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2D2AA9" w:rsidP="002D2AA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298</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573</w:t>
            </w:r>
          </w:p>
        </w:tc>
      </w:tr>
      <w:tr w:rsidR="00CF7FE2" w:rsidRPr="006D0DA3" w:rsidTr="00BA3BE8">
        <w:trPr>
          <w:trHeight w:val="254"/>
        </w:trPr>
        <w:tc>
          <w:tcPr>
            <w:tcW w:w="2192" w:type="pct"/>
            <w:noWrap/>
            <w:vAlign w:val="bottom"/>
          </w:tcPr>
          <w:p w:rsidR="00CF7FE2" w:rsidRPr="006D0DA3" w:rsidRDefault="00CF7FE2" w:rsidP="00A8171F">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Other payables and accruals</w:t>
            </w:r>
            <w:r>
              <w:rPr>
                <w:rFonts w:asciiTheme="minorHAnsi" w:hAnsiTheme="minorHAnsi" w:cstheme="minorHAnsi"/>
                <w:color w:val="000000"/>
                <w:sz w:val="16"/>
                <w:szCs w:val="16"/>
              </w:rPr>
              <w:t xml:space="preserve">    </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CF7FE2" w:rsidRPr="006D0DA3" w:rsidRDefault="00CF7FE2" w:rsidP="002D2AA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25</w:t>
            </w:r>
            <w:r w:rsidR="002D2AA9">
              <w:rPr>
                <w:rFonts w:asciiTheme="minorHAnsi" w:hAnsiTheme="minorHAnsi" w:cstheme="minorHAnsi"/>
                <w:color w:val="000000"/>
                <w:sz w:val="16"/>
                <w:szCs w:val="16"/>
              </w:rPr>
              <w:t>4</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3,924</w:t>
            </w:r>
          </w:p>
        </w:tc>
      </w:tr>
      <w:tr w:rsidR="00CF7FE2" w:rsidRPr="006D0DA3" w:rsidTr="00BA3BE8">
        <w:trPr>
          <w:trHeight w:val="254"/>
        </w:trPr>
        <w:tc>
          <w:tcPr>
            <w:tcW w:w="2192" w:type="pct"/>
            <w:noWrap/>
            <w:vAlign w:val="bottom"/>
          </w:tcPr>
          <w:p w:rsidR="00CF7FE2" w:rsidRPr="006D0DA3" w:rsidRDefault="00CF7FE2" w:rsidP="00032E97">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Amount owing </w:t>
            </w:r>
            <w:r>
              <w:rPr>
                <w:rFonts w:asciiTheme="minorHAnsi" w:hAnsiTheme="minorHAnsi" w:cstheme="minorHAnsi"/>
                <w:color w:val="000000"/>
                <w:sz w:val="16"/>
                <w:szCs w:val="16"/>
              </w:rPr>
              <w:t xml:space="preserve">to the then </w:t>
            </w:r>
            <w:r w:rsidRPr="006D0DA3">
              <w:rPr>
                <w:rFonts w:asciiTheme="minorHAnsi" w:hAnsiTheme="minorHAnsi" w:cstheme="minorHAnsi"/>
                <w:color w:val="000000"/>
                <w:sz w:val="16"/>
                <w:szCs w:val="16"/>
              </w:rPr>
              <w:t xml:space="preserve"> </w:t>
            </w:r>
            <w:r>
              <w:rPr>
                <w:rFonts w:asciiTheme="minorHAnsi" w:hAnsiTheme="minorHAnsi" w:cstheme="minorHAnsi"/>
                <w:color w:val="000000"/>
                <w:sz w:val="16"/>
                <w:szCs w:val="16"/>
              </w:rPr>
              <w:t>related company</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bottom w:val="single" w:sz="4" w:space="0" w:color="auto"/>
            </w:tcBorders>
            <w:noWrap/>
            <w:vAlign w:val="bottom"/>
          </w:tcPr>
          <w:p w:rsidR="00CF7FE2" w:rsidRDefault="00CF7FE2" w:rsidP="00BA3BE8">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1,000</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bottom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color w:val="000000"/>
                <w:sz w:val="16"/>
                <w:szCs w:val="16"/>
              </w:rPr>
              <w:t>-</w:t>
            </w:r>
          </w:p>
        </w:tc>
      </w:tr>
      <w:tr w:rsidR="00CF7FE2" w:rsidRPr="006D0DA3" w:rsidTr="00BF1C78">
        <w:trPr>
          <w:trHeight w:val="254"/>
        </w:trPr>
        <w:tc>
          <w:tcPr>
            <w:tcW w:w="2192" w:type="pct"/>
            <w:noWrap/>
            <w:vAlign w:val="bottom"/>
          </w:tcPr>
          <w:p w:rsidR="00CF7FE2" w:rsidRPr="006D0DA3" w:rsidRDefault="00CF7FE2" w:rsidP="00392AD7">
            <w:pPr>
              <w:spacing w:after="0" w:line="240" w:lineRule="auto"/>
              <w:rPr>
                <w:rFonts w:asciiTheme="minorHAnsi" w:hAnsiTheme="minorHAnsi" w:cstheme="minorHAnsi"/>
                <w:color w:val="000000"/>
                <w:sz w:val="16"/>
                <w:szCs w:val="16"/>
              </w:rPr>
            </w:pPr>
            <w:r w:rsidRPr="006D0DA3">
              <w:rPr>
                <w:rFonts w:asciiTheme="minorHAnsi" w:hAnsiTheme="minorHAnsi" w:cstheme="minorHAnsi"/>
                <w:b/>
                <w:color w:val="000000"/>
                <w:sz w:val="16"/>
                <w:szCs w:val="16"/>
              </w:rPr>
              <w:t xml:space="preserve">  Total liabilities</w:t>
            </w:r>
          </w:p>
        </w:tc>
        <w:tc>
          <w:tcPr>
            <w:tcW w:w="162"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1049" w:type="pct"/>
            <w:tcBorders>
              <w:top w:val="single" w:sz="4" w:space="0" w:color="auto"/>
              <w:bottom w:val="single" w:sz="4" w:space="0" w:color="auto"/>
            </w:tcBorders>
            <w:noWrap/>
            <w:vAlign w:val="bottom"/>
          </w:tcPr>
          <w:p w:rsidR="00CF7FE2" w:rsidRPr="006D0DA3" w:rsidRDefault="00CF7FE2" w:rsidP="002D2AA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1,5</w:t>
            </w:r>
            <w:r w:rsidR="002D2AA9">
              <w:rPr>
                <w:rFonts w:asciiTheme="minorHAnsi" w:hAnsiTheme="minorHAnsi" w:cstheme="minorHAnsi"/>
                <w:color w:val="000000"/>
                <w:sz w:val="16"/>
                <w:szCs w:val="16"/>
              </w:rPr>
              <w:t>52</w:t>
            </w:r>
          </w:p>
        </w:tc>
        <w:tc>
          <w:tcPr>
            <w:tcW w:w="30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color w:val="000000"/>
                <w:sz w:val="16"/>
                <w:szCs w:val="16"/>
              </w:rPr>
            </w:pPr>
          </w:p>
        </w:tc>
        <w:tc>
          <w:tcPr>
            <w:tcW w:w="965" w:type="pct"/>
            <w:tcBorders>
              <w:top w:val="single" w:sz="4" w:space="0" w:color="auto"/>
              <w:bottom w:val="single" w:sz="4" w:space="0" w:color="auto"/>
            </w:tcBorders>
            <w:vAlign w:val="bottom"/>
          </w:tcPr>
          <w:p w:rsidR="00CF7FE2" w:rsidRPr="00CF7FE2" w:rsidRDefault="00CF7FE2" w:rsidP="002505E4">
            <w:pPr>
              <w:spacing w:after="0" w:line="240" w:lineRule="auto"/>
              <w:jc w:val="right"/>
              <w:rPr>
                <w:rFonts w:asciiTheme="minorHAnsi" w:hAnsiTheme="minorHAnsi" w:cstheme="minorHAnsi"/>
                <w:b/>
                <w:color w:val="000000"/>
                <w:sz w:val="16"/>
                <w:szCs w:val="16"/>
              </w:rPr>
            </w:pPr>
            <w:r w:rsidRPr="00CF7FE2">
              <w:rPr>
                <w:rFonts w:asciiTheme="minorHAnsi" w:hAnsiTheme="minorHAnsi" w:cstheme="minorHAnsi"/>
                <w:color w:val="000000"/>
                <w:sz w:val="16"/>
                <w:szCs w:val="16"/>
              </w:rPr>
              <w:t>4,497</w:t>
            </w:r>
          </w:p>
        </w:tc>
      </w:tr>
      <w:tr w:rsidR="00CF7FE2" w:rsidRPr="006D0DA3" w:rsidTr="00BF1C78">
        <w:trPr>
          <w:trHeight w:val="254"/>
        </w:trPr>
        <w:tc>
          <w:tcPr>
            <w:tcW w:w="2192" w:type="pct"/>
            <w:noWrap/>
            <w:vAlign w:val="bottom"/>
          </w:tcPr>
          <w:p w:rsidR="00CF7FE2" w:rsidRPr="006D0DA3" w:rsidRDefault="00CF7FE2"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Total equity and liabilities</w:t>
            </w:r>
          </w:p>
        </w:tc>
        <w:tc>
          <w:tcPr>
            <w:tcW w:w="162" w:type="pct"/>
          </w:tcPr>
          <w:p w:rsidR="00CF7FE2" w:rsidRPr="006D0DA3" w:rsidRDefault="00CF7FE2" w:rsidP="00223B18">
            <w:pPr>
              <w:spacing w:after="0" w:line="240" w:lineRule="auto"/>
              <w:jc w:val="right"/>
              <w:rPr>
                <w:rFonts w:asciiTheme="minorHAnsi" w:hAnsiTheme="minorHAnsi" w:cstheme="minorHAnsi"/>
                <w:b/>
                <w:color w:val="000000"/>
                <w:sz w:val="16"/>
                <w:szCs w:val="16"/>
              </w:rPr>
            </w:pPr>
          </w:p>
        </w:tc>
        <w:tc>
          <w:tcPr>
            <w:tcW w:w="1049" w:type="pct"/>
            <w:tcBorders>
              <w:bottom w:val="double" w:sz="4" w:space="0" w:color="auto"/>
            </w:tcBorders>
            <w:noWrap/>
            <w:vAlign w:val="bottom"/>
          </w:tcPr>
          <w:p w:rsidR="00CF7FE2" w:rsidRPr="006D0DA3" w:rsidRDefault="002D2AA9" w:rsidP="002D2AA9">
            <w:pPr>
              <w:spacing w:after="0" w:line="240" w:lineRule="auto"/>
              <w:jc w:val="right"/>
              <w:rPr>
                <w:rFonts w:asciiTheme="minorHAnsi" w:hAnsiTheme="minorHAnsi" w:cstheme="minorHAnsi"/>
                <w:b/>
                <w:color w:val="000000"/>
                <w:sz w:val="16"/>
                <w:szCs w:val="16"/>
              </w:rPr>
            </w:pPr>
            <w:r>
              <w:rPr>
                <w:rFonts w:asciiTheme="minorHAnsi" w:hAnsiTheme="minorHAnsi" w:cstheme="minorHAnsi"/>
                <w:b/>
                <w:color w:val="000000"/>
                <w:sz w:val="16"/>
                <w:szCs w:val="16"/>
              </w:rPr>
              <w:t>20,110</w:t>
            </w:r>
          </w:p>
        </w:tc>
        <w:tc>
          <w:tcPr>
            <w:tcW w:w="301" w:type="pct"/>
          </w:tcPr>
          <w:p w:rsidR="00CF7FE2" w:rsidRPr="006D0DA3" w:rsidRDefault="00CF7FE2" w:rsidP="00223B18">
            <w:pPr>
              <w:spacing w:after="0" w:line="240" w:lineRule="auto"/>
              <w:jc w:val="right"/>
              <w:rPr>
                <w:rFonts w:asciiTheme="minorHAnsi" w:hAnsiTheme="minorHAnsi" w:cstheme="minorHAnsi"/>
                <w:b/>
                <w:color w:val="000000"/>
                <w:sz w:val="16"/>
                <w:szCs w:val="16"/>
              </w:rPr>
            </w:pPr>
          </w:p>
        </w:tc>
        <w:tc>
          <w:tcPr>
            <w:tcW w:w="331" w:type="pct"/>
          </w:tcPr>
          <w:p w:rsidR="00CF7FE2" w:rsidRPr="006D0DA3" w:rsidRDefault="00CF7FE2" w:rsidP="00223B18">
            <w:pPr>
              <w:spacing w:after="0" w:line="240" w:lineRule="auto"/>
              <w:jc w:val="right"/>
              <w:rPr>
                <w:rFonts w:asciiTheme="minorHAnsi" w:hAnsiTheme="minorHAnsi" w:cstheme="minorHAnsi"/>
                <w:b/>
                <w:color w:val="000000"/>
                <w:sz w:val="16"/>
                <w:szCs w:val="16"/>
              </w:rPr>
            </w:pPr>
          </w:p>
        </w:tc>
        <w:tc>
          <w:tcPr>
            <w:tcW w:w="965" w:type="pct"/>
            <w:tcBorders>
              <w:bottom w:val="double" w:sz="4" w:space="0" w:color="auto"/>
            </w:tcBorders>
            <w:vAlign w:val="bottom"/>
          </w:tcPr>
          <w:p w:rsidR="00CF7FE2" w:rsidRPr="00CF7FE2" w:rsidRDefault="00CF7FE2" w:rsidP="002505E4">
            <w:pPr>
              <w:spacing w:after="0" w:line="240" w:lineRule="auto"/>
              <w:jc w:val="right"/>
              <w:rPr>
                <w:rFonts w:asciiTheme="minorHAnsi" w:hAnsiTheme="minorHAnsi" w:cstheme="minorHAnsi"/>
                <w:color w:val="000000"/>
                <w:sz w:val="16"/>
                <w:szCs w:val="16"/>
              </w:rPr>
            </w:pPr>
            <w:r w:rsidRPr="00CF7FE2">
              <w:rPr>
                <w:rFonts w:asciiTheme="minorHAnsi" w:hAnsiTheme="minorHAnsi" w:cstheme="minorHAnsi"/>
                <w:b/>
                <w:color w:val="000000"/>
                <w:sz w:val="16"/>
                <w:szCs w:val="16"/>
              </w:rPr>
              <w:t>19,359</w:t>
            </w:r>
          </w:p>
        </w:tc>
      </w:tr>
      <w:tr w:rsidR="00BF1C78" w:rsidRPr="006D0DA3" w:rsidTr="00BF1C78">
        <w:trPr>
          <w:trHeight w:val="254"/>
        </w:trPr>
        <w:tc>
          <w:tcPr>
            <w:tcW w:w="2192" w:type="pct"/>
            <w:noWrap/>
            <w:vAlign w:val="bottom"/>
          </w:tcPr>
          <w:p w:rsidR="00BF1C78" w:rsidRPr="006D0DA3" w:rsidRDefault="00BF1C78" w:rsidP="00223B18">
            <w:pPr>
              <w:spacing w:after="0" w:line="240" w:lineRule="auto"/>
              <w:rPr>
                <w:rFonts w:asciiTheme="minorHAnsi" w:hAnsiTheme="minorHAnsi" w:cstheme="minorHAnsi"/>
                <w:color w:val="000000"/>
                <w:sz w:val="16"/>
                <w:szCs w:val="16"/>
              </w:rPr>
            </w:pPr>
          </w:p>
        </w:tc>
        <w:tc>
          <w:tcPr>
            <w:tcW w:w="162" w:type="pct"/>
          </w:tcPr>
          <w:p w:rsidR="00BF1C78" w:rsidRPr="006D0DA3" w:rsidRDefault="00BF1C78" w:rsidP="00223B18">
            <w:pPr>
              <w:spacing w:after="0" w:line="240" w:lineRule="auto"/>
              <w:jc w:val="center"/>
              <w:rPr>
                <w:rFonts w:asciiTheme="minorHAnsi" w:hAnsiTheme="minorHAnsi" w:cstheme="minorHAnsi"/>
                <w:color w:val="000000"/>
                <w:sz w:val="16"/>
                <w:szCs w:val="16"/>
              </w:rPr>
            </w:pPr>
          </w:p>
        </w:tc>
        <w:tc>
          <w:tcPr>
            <w:tcW w:w="1049" w:type="pct"/>
            <w:tcBorders>
              <w:top w:val="double" w:sz="4" w:space="0" w:color="auto"/>
            </w:tcBorders>
            <w:noWrap/>
            <w:vAlign w:val="bottom"/>
          </w:tcPr>
          <w:p w:rsidR="00BF1C78" w:rsidRPr="006D0DA3" w:rsidRDefault="00BF1C78" w:rsidP="00223B18">
            <w:pPr>
              <w:spacing w:after="0" w:line="240" w:lineRule="auto"/>
              <w:jc w:val="center"/>
              <w:rPr>
                <w:rFonts w:asciiTheme="minorHAnsi" w:hAnsiTheme="minorHAnsi" w:cstheme="minorHAnsi"/>
                <w:color w:val="000000"/>
                <w:sz w:val="16"/>
                <w:szCs w:val="16"/>
              </w:rPr>
            </w:pPr>
          </w:p>
        </w:tc>
        <w:tc>
          <w:tcPr>
            <w:tcW w:w="301" w:type="pct"/>
          </w:tcPr>
          <w:p w:rsidR="00BF1C78" w:rsidRPr="006D0DA3" w:rsidRDefault="00BF1C78" w:rsidP="00223B18">
            <w:pPr>
              <w:spacing w:after="0" w:line="240" w:lineRule="auto"/>
              <w:jc w:val="center"/>
              <w:rPr>
                <w:rFonts w:asciiTheme="minorHAnsi" w:hAnsiTheme="minorHAnsi" w:cstheme="minorHAnsi"/>
                <w:color w:val="000000"/>
                <w:sz w:val="16"/>
                <w:szCs w:val="16"/>
              </w:rPr>
            </w:pPr>
          </w:p>
        </w:tc>
        <w:tc>
          <w:tcPr>
            <w:tcW w:w="331" w:type="pct"/>
          </w:tcPr>
          <w:p w:rsidR="00BF1C78" w:rsidRPr="006D0DA3" w:rsidRDefault="00BF1C78" w:rsidP="00223B18">
            <w:pPr>
              <w:spacing w:after="0" w:line="240" w:lineRule="auto"/>
              <w:jc w:val="center"/>
              <w:rPr>
                <w:rFonts w:asciiTheme="minorHAnsi" w:hAnsiTheme="minorHAnsi" w:cstheme="minorHAnsi"/>
                <w:color w:val="000000"/>
                <w:sz w:val="16"/>
                <w:szCs w:val="16"/>
              </w:rPr>
            </w:pPr>
          </w:p>
        </w:tc>
        <w:tc>
          <w:tcPr>
            <w:tcW w:w="965" w:type="pct"/>
            <w:tcBorders>
              <w:top w:val="double" w:sz="4" w:space="0" w:color="auto"/>
            </w:tcBorders>
            <w:vAlign w:val="bottom"/>
          </w:tcPr>
          <w:p w:rsidR="00BF1C78" w:rsidRPr="006D0DA3" w:rsidRDefault="00BF1C78" w:rsidP="00223B18">
            <w:pPr>
              <w:spacing w:after="0" w:line="240" w:lineRule="auto"/>
              <w:jc w:val="center"/>
              <w:rPr>
                <w:rFonts w:asciiTheme="minorHAnsi" w:hAnsiTheme="minorHAnsi" w:cstheme="minorHAnsi"/>
                <w:color w:val="000000"/>
                <w:sz w:val="16"/>
                <w:szCs w:val="16"/>
              </w:rPr>
            </w:pPr>
          </w:p>
        </w:tc>
      </w:tr>
      <w:tr w:rsidR="00BF1C78" w:rsidRPr="006D0DA3" w:rsidTr="00BF1C78">
        <w:trPr>
          <w:trHeight w:val="254"/>
        </w:trPr>
        <w:tc>
          <w:tcPr>
            <w:tcW w:w="2192" w:type="pct"/>
            <w:noWrap/>
            <w:vAlign w:val="bottom"/>
          </w:tcPr>
          <w:p w:rsidR="00BF1C78" w:rsidRPr="006D0DA3" w:rsidRDefault="00BF1C78" w:rsidP="00223B18">
            <w:pPr>
              <w:spacing w:after="0" w:line="240" w:lineRule="auto"/>
              <w:rPr>
                <w:rFonts w:asciiTheme="minorHAnsi" w:hAnsiTheme="minorHAnsi" w:cstheme="minorHAnsi"/>
                <w:color w:val="000000"/>
                <w:sz w:val="16"/>
                <w:szCs w:val="16"/>
              </w:rPr>
            </w:pPr>
          </w:p>
        </w:tc>
        <w:tc>
          <w:tcPr>
            <w:tcW w:w="162" w:type="pct"/>
          </w:tcPr>
          <w:p w:rsidR="00BF1C78" w:rsidRPr="006D0DA3" w:rsidRDefault="00BF1C78" w:rsidP="00223B18">
            <w:pPr>
              <w:spacing w:after="0" w:line="240" w:lineRule="auto"/>
              <w:jc w:val="center"/>
              <w:rPr>
                <w:rFonts w:asciiTheme="minorHAnsi" w:hAnsiTheme="minorHAnsi" w:cstheme="minorHAnsi"/>
                <w:color w:val="000000"/>
                <w:sz w:val="16"/>
                <w:szCs w:val="16"/>
              </w:rPr>
            </w:pPr>
          </w:p>
        </w:tc>
        <w:tc>
          <w:tcPr>
            <w:tcW w:w="1049" w:type="pct"/>
            <w:noWrap/>
            <w:vAlign w:val="bottom"/>
          </w:tcPr>
          <w:p w:rsidR="00BF1C78" w:rsidRPr="006D0DA3" w:rsidRDefault="00BF1C78" w:rsidP="00223B18">
            <w:pPr>
              <w:spacing w:after="0" w:line="240" w:lineRule="auto"/>
              <w:jc w:val="center"/>
              <w:rPr>
                <w:rFonts w:asciiTheme="minorHAnsi" w:hAnsiTheme="minorHAnsi" w:cstheme="minorHAnsi"/>
                <w:color w:val="000000"/>
                <w:sz w:val="16"/>
                <w:szCs w:val="16"/>
              </w:rPr>
            </w:pPr>
          </w:p>
        </w:tc>
        <w:tc>
          <w:tcPr>
            <w:tcW w:w="301" w:type="pct"/>
          </w:tcPr>
          <w:p w:rsidR="00BF1C78" w:rsidRPr="006D0DA3" w:rsidRDefault="00BF1C78" w:rsidP="00223B18">
            <w:pPr>
              <w:spacing w:after="0" w:line="240" w:lineRule="auto"/>
              <w:jc w:val="center"/>
              <w:rPr>
                <w:rFonts w:asciiTheme="minorHAnsi" w:hAnsiTheme="minorHAnsi" w:cstheme="minorHAnsi"/>
                <w:color w:val="000000"/>
                <w:sz w:val="16"/>
                <w:szCs w:val="16"/>
              </w:rPr>
            </w:pPr>
          </w:p>
        </w:tc>
        <w:tc>
          <w:tcPr>
            <w:tcW w:w="331" w:type="pct"/>
          </w:tcPr>
          <w:p w:rsidR="00BF1C78" w:rsidRPr="006D0DA3" w:rsidRDefault="00BF1C78" w:rsidP="00223B18">
            <w:pPr>
              <w:spacing w:after="0" w:line="240" w:lineRule="auto"/>
              <w:jc w:val="center"/>
              <w:rPr>
                <w:rFonts w:asciiTheme="minorHAnsi" w:hAnsiTheme="minorHAnsi" w:cstheme="minorHAnsi"/>
                <w:color w:val="000000"/>
                <w:sz w:val="16"/>
                <w:szCs w:val="16"/>
              </w:rPr>
            </w:pPr>
          </w:p>
        </w:tc>
        <w:tc>
          <w:tcPr>
            <w:tcW w:w="965" w:type="pct"/>
            <w:vAlign w:val="bottom"/>
          </w:tcPr>
          <w:p w:rsidR="00BF1C78" w:rsidRPr="006D0DA3" w:rsidRDefault="00BF1C78" w:rsidP="00223B18">
            <w:pPr>
              <w:spacing w:after="0" w:line="240" w:lineRule="auto"/>
              <w:jc w:val="center"/>
              <w:rPr>
                <w:rFonts w:asciiTheme="minorHAnsi" w:hAnsiTheme="minorHAnsi" w:cstheme="minorHAnsi"/>
                <w:color w:val="000000"/>
                <w:sz w:val="16"/>
                <w:szCs w:val="16"/>
              </w:rPr>
            </w:pPr>
          </w:p>
        </w:tc>
      </w:tr>
      <w:tr w:rsidR="00BF1C78" w:rsidRPr="006D0DA3" w:rsidTr="00BF1C78">
        <w:trPr>
          <w:trHeight w:val="227"/>
        </w:trPr>
        <w:tc>
          <w:tcPr>
            <w:tcW w:w="2192" w:type="pct"/>
            <w:noWrap/>
            <w:vAlign w:val="bottom"/>
          </w:tcPr>
          <w:p w:rsidR="00BF1C78" w:rsidRPr="006D0DA3" w:rsidRDefault="00BF1C78"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Net assets per share attributable to ordinary equity holders of the Company (RM)</w:t>
            </w:r>
          </w:p>
        </w:tc>
        <w:tc>
          <w:tcPr>
            <w:tcW w:w="162" w:type="pct"/>
          </w:tcPr>
          <w:p w:rsidR="00BF1C78" w:rsidRPr="006D0DA3" w:rsidRDefault="00BF1C78" w:rsidP="00223B18">
            <w:pPr>
              <w:spacing w:after="0" w:line="240" w:lineRule="auto"/>
              <w:jc w:val="right"/>
              <w:rPr>
                <w:rFonts w:asciiTheme="minorHAnsi" w:hAnsiTheme="minorHAnsi" w:cstheme="minorHAnsi"/>
                <w:color w:val="000000"/>
                <w:sz w:val="16"/>
                <w:szCs w:val="16"/>
              </w:rPr>
            </w:pPr>
          </w:p>
        </w:tc>
        <w:tc>
          <w:tcPr>
            <w:tcW w:w="1049" w:type="pct"/>
            <w:noWrap/>
            <w:vAlign w:val="bottom"/>
          </w:tcPr>
          <w:p w:rsidR="00BF1C78" w:rsidRPr="006D0DA3" w:rsidRDefault="00BF1C78" w:rsidP="00CF7FE2">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0.0</w:t>
            </w:r>
            <w:r w:rsidR="00DD519C">
              <w:rPr>
                <w:rFonts w:asciiTheme="minorHAnsi" w:hAnsiTheme="minorHAnsi" w:cstheme="minorHAnsi"/>
                <w:color w:val="000000"/>
                <w:sz w:val="16"/>
                <w:szCs w:val="16"/>
              </w:rPr>
              <w:t>5</w:t>
            </w:r>
          </w:p>
        </w:tc>
        <w:tc>
          <w:tcPr>
            <w:tcW w:w="301" w:type="pct"/>
          </w:tcPr>
          <w:p w:rsidR="00BF1C78" w:rsidRPr="006D0DA3" w:rsidRDefault="00BF1C78" w:rsidP="00223B18">
            <w:pPr>
              <w:spacing w:after="0" w:line="240" w:lineRule="auto"/>
              <w:jc w:val="right"/>
              <w:rPr>
                <w:rFonts w:asciiTheme="minorHAnsi" w:hAnsiTheme="minorHAnsi" w:cstheme="minorHAnsi"/>
                <w:color w:val="000000"/>
                <w:sz w:val="16"/>
                <w:szCs w:val="16"/>
              </w:rPr>
            </w:pPr>
          </w:p>
        </w:tc>
        <w:tc>
          <w:tcPr>
            <w:tcW w:w="331" w:type="pct"/>
          </w:tcPr>
          <w:p w:rsidR="00BF1C78" w:rsidRPr="006D0DA3" w:rsidRDefault="00BF1C78" w:rsidP="00223B18">
            <w:pPr>
              <w:spacing w:after="0" w:line="240" w:lineRule="auto"/>
              <w:jc w:val="right"/>
              <w:rPr>
                <w:rFonts w:asciiTheme="minorHAnsi" w:hAnsiTheme="minorHAnsi" w:cstheme="minorHAnsi"/>
                <w:color w:val="000000"/>
                <w:sz w:val="16"/>
                <w:szCs w:val="16"/>
              </w:rPr>
            </w:pPr>
          </w:p>
        </w:tc>
        <w:tc>
          <w:tcPr>
            <w:tcW w:w="965" w:type="pct"/>
            <w:vAlign w:val="bottom"/>
          </w:tcPr>
          <w:p w:rsidR="00BF1C78" w:rsidRPr="006D0DA3" w:rsidRDefault="00BF1C78" w:rsidP="00CF7FE2">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0.0</w:t>
            </w:r>
            <w:r w:rsidR="00CF7FE2">
              <w:rPr>
                <w:rFonts w:asciiTheme="minorHAnsi" w:hAnsiTheme="minorHAnsi" w:cstheme="minorHAnsi"/>
                <w:color w:val="000000"/>
                <w:sz w:val="16"/>
                <w:szCs w:val="16"/>
              </w:rPr>
              <w:t>5</w:t>
            </w:r>
          </w:p>
        </w:tc>
      </w:tr>
    </w:tbl>
    <w:p w:rsidR="00223B18" w:rsidRPr="006D0DA3" w:rsidRDefault="00223B18" w:rsidP="00223B18">
      <w:pPr>
        <w:autoSpaceDE w:val="0"/>
        <w:autoSpaceDN w:val="0"/>
        <w:adjustRightInd w:val="0"/>
        <w:spacing w:after="0" w:line="240" w:lineRule="auto"/>
        <w:rPr>
          <w:rFonts w:asciiTheme="minorHAnsi" w:hAnsiTheme="minorHAnsi" w:cstheme="minorHAnsi"/>
          <w:b/>
          <w:bCs/>
          <w:sz w:val="16"/>
          <w:szCs w:val="16"/>
        </w:rPr>
      </w:pPr>
    </w:p>
    <w:p w:rsidR="00ED5BD8" w:rsidRPr="006D0DA3" w:rsidRDefault="00ED5BD8" w:rsidP="00223B18">
      <w:pPr>
        <w:autoSpaceDE w:val="0"/>
        <w:autoSpaceDN w:val="0"/>
        <w:adjustRightInd w:val="0"/>
        <w:spacing w:after="0" w:line="240" w:lineRule="auto"/>
        <w:rPr>
          <w:rFonts w:asciiTheme="minorHAnsi" w:hAnsiTheme="minorHAnsi" w:cstheme="minorHAnsi"/>
          <w:b/>
          <w:bCs/>
          <w:sz w:val="16"/>
          <w:szCs w:val="16"/>
        </w:rPr>
      </w:pPr>
    </w:p>
    <w:p w:rsidR="00ED5BD8" w:rsidRPr="006D0DA3" w:rsidRDefault="00ED5BD8" w:rsidP="00223B18">
      <w:pPr>
        <w:autoSpaceDE w:val="0"/>
        <w:autoSpaceDN w:val="0"/>
        <w:adjustRightInd w:val="0"/>
        <w:spacing w:after="0" w:line="240" w:lineRule="auto"/>
        <w:rPr>
          <w:rFonts w:asciiTheme="minorHAnsi" w:hAnsiTheme="minorHAnsi" w:cstheme="minorHAnsi"/>
          <w:b/>
          <w:bCs/>
          <w:sz w:val="16"/>
          <w:szCs w:val="16"/>
        </w:rPr>
      </w:pPr>
    </w:p>
    <w:p w:rsidR="00ED5BD8" w:rsidRPr="006D0DA3" w:rsidRDefault="00ED5BD8" w:rsidP="00223B18">
      <w:pPr>
        <w:autoSpaceDE w:val="0"/>
        <w:autoSpaceDN w:val="0"/>
        <w:adjustRightInd w:val="0"/>
        <w:spacing w:after="0" w:line="240" w:lineRule="auto"/>
        <w:rPr>
          <w:rFonts w:asciiTheme="minorHAnsi" w:hAnsiTheme="minorHAnsi" w:cstheme="minorHAnsi"/>
          <w:b/>
          <w:bCs/>
          <w:sz w:val="16"/>
          <w:szCs w:val="16"/>
        </w:rPr>
      </w:pPr>
    </w:p>
    <w:p w:rsidR="00223B18" w:rsidRPr="006D0DA3" w:rsidRDefault="005E2CA4" w:rsidP="00223B18">
      <w:pPr>
        <w:autoSpaceDE w:val="0"/>
        <w:autoSpaceDN w:val="0"/>
        <w:adjustRightInd w:val="0"/>
        <w:spacing w:after="0" w:line="240" w:lineRule="auto"/>
        <w:rPr>
          <w:rFonts w:asciiTheme="minorHAnsi" w:hAnsiTheme="minorHAnsi" w:cstheme="minorHAnsi"/>
          <w:sz w:val="14"/>
          <w:szCs w:val="14"/>
        </w:rPr>
      </w:pPr>
      <w:r w:rsidRPr="006D0DA3">
        <w:rPr>
          <w:rFonts w:asciiTheme="minorHAnsi" w:hAnsiTheme="minorHAnsi" w:cstheme="minorHAnsi"/>
          <w:sz w:val="14"/>
          <w:szCs w:val="14"/>
        </w:rPr>
        <w:t>Notes</w:t>
      </w:r>
      <w:r w:rsidR="00223B18" w:rsidRPr="006D0DA3">
        <w:rPr>
          <w:rFonts w:asciiTheme="minorHAnsi" w:hAnsiTheme="minorHAnsi" w:cstheme="minorHAnsi"/>
          <w:sz w:val="14"/>
          <w:szCs w:val="14"/>
        </w:rPr>
        <w:t>:</w:t>
      </w:r>
    </w:p>
    <w:p w:rsidR="00223B18" w:rsidRPr="006D0DA3" w:rsidRDefault="00223B18" w:rsidP="00223B18">
      <w:pPr>
        <w:tabs>
          <w:tab w:val="left" w:pos="440"/>
        </w:tabs>
        <w:autoSpaceDE w:val="0"/>
        <w:autoSpaceDN w:val="0"/>
        <w:adjustRightInd w:val="0"/>
        <w:spacing w:after="0" w:line="240" w:lineRule="auto"/>
        <w:rPr>
          <w:rFonts w:asciiTheme="minorHAnsi" w:hAnsiTheme="minorHAnsi" w:cstheme="minorHAnsi"/>
          <w:sz w:val="14"/>
          <w:szCs w:val="14"/>
        </w:rPr>
      </w:pPr>
    </w:p>
    <w:p w:rsidR="00223B18" w:rsidRPr="006D0DA3" w:rsidRDefault="00223B18" w:rsidP="007C704D">
      <w:pPr>
        <w:autoSpaceDE w:val="0"/>
        <w:autoSpaceDN w:val="0"/>
        <w:adjustRightInd w:val="0"/>
        <w:spacing w:after="0" w:line="240" w:lineRule="auto"/>
        <w:ind w:left="720" w:hanging="720"/>
        <w:jc w:val="both"/>
        <w:rPr>
          <w:rFonts w:asciiTheme="minorHAnsi" w:hAnsiTheme="minorHAnsi" w:cstheme="minorHAnsi"/>
          <w:sz w:val="14"/>
          <w:szCs w:val="14"/>
        </w:rPr>
      </w:pPr>
      <w:r w:rsidRPr="006D0DA3">
        <w:rPr>
          <w:rFonts w:asciiTheme="minorHAnsi" w:hAnsiTheme="minorHAnsi" w:cstheme="minorHAnsi"/>
          <w:sz w:val="14"/>
          <w:szCs w:val="14"/>
        </w:rPr>
        <w:t>(i)</w:t>
      </w:r>
      <w:r w:rsidRPr="006D0DA3">
        <w:rPr>
          <w:rFonts w:asciiTheme="minorHAnsi" w:hAnsiTheme="minorHAnsi" w:cstheme="minorHAnsi"/>
          <w:sz w:val="14"/>
          <w:szCs w:val="14"/>
        </w:rPr>
        <w:tab/>
        <w:t xml:space="preserve">The net asset per share for the quarter and financial period is calculated based on the net asset as at </w:t>
      </w:r>
      <w:r w:rsidR="001E6FD5" w:rsidRPr="006D0DA3">
        <w:rPr>
          <w:rFonts w:asciiTheme="minorHAnsi" w:hAnsiTheme="minorHAnsi" w:cstheme="minorHAnsi"/>
          <w:sz w:val="14"/>
          <w:szCs w:val="14"/>
        </w:rPr>
        <w:t xml:space="preserve">31 </w:t>
      </w:r>
      <w:r w:rsidR="008628B4">
        <w:rPr>
          <w:rFonts w:asciiTheme="minorHAnsi" w:hAnsiTheme="minorHAnsi" w:cstheme="minorHAnsi"/>
          <w:sz w:val="14"/>
          <w:szCs w:val="14"/>
        </w:rPr>
        <w:t>July</w:t>
      </w:r>
      <w:r w:rsidR="001E6FD5" w:rsidRPr="006D0DA3">
        <w:rPr>
          <w:rFonts w:asciiTheme="minorHAnsi" w:hAnsiTheme="minorHAnsi" w:cstheme="minorHAnsi"/>
          <w:sz w:val="14"/>
          <w:szCs w:val="14"/>
        </w:rPr>
        <w:t xml:space="preserve"> 201</w:t>
      </w:r>
      <w:r w:rsidR="00AC20FF">
        <w:rPr>
          <w:rFonts w:asciiTheme="minorHAnsi" w:hAnsiTheme="minorHAnsi" w:cstheme="minorHAnsi"/>
          <w:sz w:val="14"/>
          <w:szCs w:val="14"/>
        </w:rPr>
        <w:t>6</w:t>
      </w:r>
      <w:r w:rsidRPr="006D0DA3">
        <w:rPr>
          <w:rFonts w:asciiTheme="minorHAnsi" w:hAnsiTheme="minorHAnsi" w:cstheme="minorHAnsi"/>
          <w:sz w:val="14"/>
          <w:szCs w:val="14"/>
        </w:rPr>
        <w:t xml:space="preserve"> divided by the number of outstanding ordinary shares as at </w:t>
      </w:r>
      <w:r w:rsidR="001D0D98" w:rsidRPr="006D0DA3">
        <w:rPr>
          <w:rFonts w:asciiTheme="minorHAnsi" w:hAnsiTheme="minorHAnsi" w:cstheme="minorHAnsi"/>
          <w:sz w:val="14"/>
          <w:szCs w:val="14"/>
        </w:rPr>
        <w:t xml:space="preserve">31 </w:t>
      </w:r>
      <w:r w:rsidR="00AE4801">
        <w:rPr>
          <w:rFonts w:asciiTheme="minorHAnsi" w:hAnsiTheme="minorHAnsi" w:cstheme="minorHAnsi"/>
          <w:sz w:val="14"/>
          <w:szCs w:val="14"/>
        </w:rPr>
        <w:t>July</w:t>
      </w:r>
      <w:r w:rsidR="00AC20FF">
        <w:rPr>
          <w:rFonts w:asciiTheme="minorHAnsi" w:hAnsiTheme="minorHAnsi" w:cstheme="minorHAnsi"/>
          <w:sz w:val="14"/>
          <w:szCs w:val="14"/>
        </w:rPr>
        <w:t xml:space="preserve"> </w:t>
      </w:r>
      <w:r w:rsidR="001D0D98">
        <w:rPr>
          <w:rFonts w:asciiTheme="minorHAnsi" w:hAnsiTheme="minorHAnsi" w:cstheme="minorHAnsi"/>
          <w:sz w:val="14"/>
          <w:szCs w:val="14"/>
        </w:rPr>
        <w:t xml:space="preserve"> 201</w:t>
      </w:r>
      <w:r w:rsidR="00AC20FF">
        <w:rPr>
          <w:rFonts w:asciiTheme="minorHAnsi" w:hAnsiTheme="minorHAnsi" w:cstheme="minorHAnsi"/>
          <w:sz w:val="14"/>
          <w:szCs w:val="14"/>
        </w:rPr>
        <w:t>6</w:t>
      </w:r>
      <w:r w:rsidRPr="006D0DA3">
        <w:rPr>
          <w:rFonts w:asciiTheme="minorHAnsi" w:hAnsiTheme="minorHAnsi" w:cstheme="minorHAnsi"/>
          <w:sz w:val="14"/>
          <w:szCs w:val="14"/>
        </w:rPr>
        <w:t>.</w:t>
      </w:r>
    </w:p>
    <w:p w:rsidR="00223B18" w:rsidRPr="006D0DA3" w:rsidRDefault="00223B18" w:rsidP="00ED5BD8">
      <w:pPr>
        <w:autoSpaceDE w:val="0"/>
        <w:autoSpaceDN w:val="0"/>
        <w:adjustRightInd w:val="0"/>
        <w:spacing w:after="0" w:line="240" w:lineRule="auto"/>
        <w:ind w:left="720" w:hanging="720"/>
        <w:jc w:val="both"/>
        <w:rPr>
          <w:rFonts w:asciiTheme="minorHAnsi" w:hAnsiTheme="minorHAnsi" w:cstheme="minorHAnsi"/>
          <w:b/>
          <w:bCs/>
          <w:sz w:val="16"/>
          <w:szCs w:val="16"/>
        </w:rPr>
      </w:pPr>
      <w:r w:rsidRPr="006D0DA3">
        <w:rPr>
          <w:rFonts w:asciiTheme="minorHAnsi" w:hAnsiTheme="minorHAnsi" w:cstheme="minorHAnsi"/>
          <w:sz w:val="14"/>
          <w:szCs w:val="14"/>
        </w:rPr>
        <w:t>(ii)</w:t>
      </w:r>
      <w:r w:rsidRPr="006D0DA3">
        <w:rPr>
          <w:rFonts w:asciiTheme="minorHAnsi" w:hAnsiTheme="minorHAnsi" w:cstheme="minorHAnsi"/>
          <w:sz w:val="14"/>
          <w:szCs w:val="14"/>
        </w:rPr>
        <w:tab/>
        <w:t>The Unaudited Condensed Consolidated Statements of Financial Position should be read in conjunction with the audited financial st</w:t>
      </w:r>
      <w:r w:rsidR="008D7751" w:rsidRPr="006D0DA3">
        <w:rPr>
          <w:rFonts w:asciiTheme="minorHAnsi" w:hAnsiTheme="minorHAnsi" w:cstheme="minorHAnsi"/>
          <w:sz w:val="14"/>
          <w:szCs w:val="14"/>
        </w:rPr>
        <w:t xml:space="preserve">atements of the Group for the FPE 31 March </w:t>
      </w:r>
      <w:r w:rsidRPr="006D0DA3">
        <w:rPr>
          <w:rFonts w:asciiTheme="minorHAnsi" w:hAnsiTheme="minorHAnsi" w:cstheme="minorHAnsi"/>
          <w:sz w:val="14"/>
          <w:szCs w:val="14"/>
        </w:rPr>
        <w:t>201</w:t>
      </w:r>
      <w:r w:rsidR="008D7751" w:rsidRPr="006D0DA3">
        <w:rPr>
          <w:rFonts w:asciiTheme="minorHAnsi" w:hAnsiTheme="minorHAnsi" w:cstheme="minorHAnsi"/>
          <w:sz w:val="14"/>
          <w:szCs w:val="14"/>
        </w:rPr>
        <w:t>5</w:t>
      </w:r>
      <w:r w:rsidRPr="006D0DA3">
        <w:rPr>
          <w:rFonts w:asciiTheme="minorHAnsi" w:hAnsiTheme="minorHAnsi" w:cstheme="minorHAnsi"/>
          <w:sz w:val="14"/>
          <w:szCs w:val="14"/>
        </w:rPr>
        <w:t xml:space="preserve"> and the accompanying notes attached to this interim financial report.</w:t>
      </w:r>
    </w:p>
    <w:p w:rsidR="00ED5BD8" w:rsidRPr="006D0DA3" w:rsidRDefault="00ED5BD8" w:rsidP="00FB7221">
      <w:pPr>
        <w:autoSpaceDE w:val="0"/>
        <w:autoSpaceDN w:val="0"/>
        <w:adjustRightInd w:val="0"/>
        <w:spacing w:after="0" w:line="240" w:lineRule="auto"/>
        <w:rPr>
          <w:rFonts w:asciiTheme="minorHAnsi" w:hAnsiTheme="minorHAnsi" w:cstheme="minorHAnsi"/>
          <w:b/>
          <w:bCs/>
          <w:sz w:val="16"/>
          <w:szCs w:val="16"/>
        </w:rPr>
      </w:pPr>
    </w:p>
    <w:p w:rsidR="00F12711" w:rsidRPr="006D0DA3" w:rsidRDefault="00F12711" w:rsidP="00FB7221">
      <w:pPr>
        <w:autoSpaceDE w:val="0"/>
        <w:autoSpaceDN w:val="0"/>
        <w:adjustRightInd w:val="0"/>
        <w:spacing w:after="0" w:line="240" w:lineRule="auto"/>
        <w:rPr>
          <w:rFonts w:asciiTheme="minorHAnsi" w:hAnsiTheme="minorHAnsi" w:cstheme="minorHAnsi"/>
          <w:b/>
          <w:bCs/>
          <w:sz w:val="16"/>
          <w:szCs w:val="16"/>
        </w:rPr>
      </w:pPr>
    </w:p>
    <w:p w:rsidR="00B13DE2" w:rsidRPr="006D0DA3" w:rsidRDefault="00B13DE2" w:rsidP="00FB7221">
      <w:pPr>
        <w:autoSpaceDE w:val="0"/>
        <w:autoSpaceDN w:val="0"/>
        <w:adjustRightInd w:val="0"/>
        <w:spacing w:after="0" w:line="240" w:lineRule="auto"/>
        <w:rPr>
          <w:rFonts w:asciiTheme="minorHAnsi" w:hAnsiTheme="minorHAnsi" w:cstheme="minorHAnsi"/>
          <w:b/>
          <w:bCs/>
          <w:sz w:val="16"/>
          <w:szCs w:val="16"/>
        </w:rPr>
      </w:pPr>
    </w:p>
    <w:p w:rsidR="008D7751" w:rsidRPr="006D0DA3" w:rsidRDefault="008D7751" w:rsidP="00FB7221">
      <w:pPr>
        <w:autoSpaceDE w:val="0"/>
        <w:autoSpaceDN w:val="0"/>
        <w:adjustRightInd w:val="0"/>
        <w:spacing w:after="0" w:line="240" w:lineRule="auto"/>
        <w:rPr>
          <w:rFonts w:asciiTheme="minorHAnsi" w:hAnsiTheme="minorHAnsi" w:cstheme="minorHAnsi"/>
          <w:b/>
          <w:bCs/>
          <w:sz w:val="16"/>
          <w:szCs w:val="16"/>
        </w:rPr>
      </w:pPr>
    </w:p>
    <w:p w:rsidR="00223B18" w:rsidRPr="006D0DA3" w:rsidRDefault="00223B18" w:rsidP="00FB7221">
      <w:pPr>
        <w:autoSpaceDE w:val="0"/>
        <w:autoSpaceDN w:val="0"/>
        <w:adjustRightInd w:val="0"/>
        <w:spacing w:after="0" w:line="240" w:lineRule="auto"/>
        <w:rPr>
          <w:rFonts w:asciiTheme="minorHAnsi" w:hAnsiTheme="minorHAnsi" w:cstheme="minorHAnsi"/>
          <w:b/>
          <w:bCs/>
          <w:sz w:val="16"/>
          <w:szCs w:val="16"/>
        </w:rPr>
      </w:pPr>
      <w:r w:rsidRPr="006D0DA3">
        <w:rPr>
          <w:rFonts w:asciiTheme="minorHAnsi" w:hAnsiTheme="minorHAnsi" w:cstheme="minorHAnsi"/>
          <w:b/>
          <w:bCs/>
          <w:sz w:val="16"/>
          <w:szCs w:val="16"/>
        </w:rPr>
        <w:t>UNAUDITED CONDENSED CONSOLIDATED STATEMENT OF CASH FLOWS</w:t>
      </w:r>
    </w:p>
    <w:p w:rsidR="00223B18" w:rsidRPr="006D0DA3" w:rsidRDefault="00FB446B" w:rsidP="00FB7221">
      <w:pPr>
        <w:autoSpaceDE w:val="0"/>
        <w:autoSpaceDN w:val="0"/>
        <w:adjustRightInd w:val="0"/>
        <w:spacing w:after="0" w:line="240" w:lineRule="auto"/>
        <w:rPr>
          <w:rFonts w:asciiTheme="minorHAnsi" w:hAnsiTheme="minorHAnsi" w:cstheme="minorHAnsi"/>
          <w:b/>
          <w:bCs/>
          <w:sz w:val="16"/>
          <w:szCs w:val="16"/>
        </w:rPr>
      </w:pPr>
      <w:r w:rsidRPr="006D0DA3">
        <w:rPr>
          <w:rFonts w:asciiTheme="minorHAnsi" w:hAnsiTheme="minorHAnsi" w:cstheme="minorHAnsi"/>
          <w:b/>
          <w:bCs/>
          <w:sz w:val="16"/>
          <w:szCs w:val="16"/>
        </w:rPr>
        <w:t>FOR</w:t>
      </w:r>
      <w:r w:rsidR="00A90310" w:rsidRPr="006D0DA3">
        <w:rPr>
          <w:rFonts w:asciiTheme="minorHAnsi" w:hAnsiTheme="minorHAnsi" w:cstheme="minorHAnsi"/>
          <w:b/>
          <w:bCs/>
          <w:sz w:val="16"/>
          <w:szCs w:val="16"/>
        </w:rPr>
        <w:t xml:space="preserve"> THE </w:t>
      </w:r>
      <w:r w:rsidR="00F920EE">
        <w:rPr>
          <w:rFonts w:asciiTheme="minorHAnsi" w:hAnsiTheme="minorHAnsi" w:cstheme="minorHAnsi"/>
          <w:b/>
          <w:bCs/>
          <w:sz w:val="16"/>
          <w:szCs w:val="16"/>
        </w:rPr>
        <w:t>MONTH</w:t>
      </w:r>
      <w:r w:rsidR="006D0DA3">
        <w:rPr>
          <w:rFonts w:asciiTheme="minorHAnsi" w:hAnsiTheme="minorHAnsi" w:cstheme="minorHAnsi"/>
          <w:b/>
          <w:bCs/>
          <w:sz w:val="16"/>
          <w:szCs w:val="16"/>
        </w:rPr>
        <w:t xml:space="preserve"> </w:t>
      </w:r>
      <w:r w:rsidR="00223B18" w:rsidRPr="006D0DA3">
        <w:rPr>
          <w:rFonts w:asciiTheme="minorHAnsi" w:hAnsiTheme="minorHAnsi" w:cstheme="minorHAnsi"/>
          <w:b/>
          <w:bCs/>
          <w:sz w:val="16"/>
          <w:szCs w:val="16"/>
        </w:rPr>
        <w:t xml:space="preserve">ENDED </w:t>
      </w:r>
      <w:r w:rsidR="00F64687" w:rsidRPr="006D0DA3">
        <w:rPr>
          <w:rFonts w:asciiTheme="minorHAnsi" w:hAnsiTheme="minorHAnsi" w:cstheme="minorHAnsi"/>
          <w:b/>
          <w:bCs/>
          <w:sz w:val="16"/>
          <w:szCs w:val="16"/>
        </w:rPr>
        <w:t>3</w:t>
      </w:r>
      <w:r w:rsidR="009A6796">
        <w:rPr>
          <w:rFonts w:asciiTheme="minorHAnsi" w:hAnsiTheme="minorHAnsi" w:cstheme="minorHAnsi"/>
          <w:b/>
          <w:bCs/>
          <w:sz w:val="16"/>
          <w:szCs w:val="16"/>
        </w:rPr>
        <w:t xml:space="preserve">1 JULY </w:t>
      </w:r>
      <w:r w:rsidR="001E6FD5" w:rsidRPr="006D0DA3">
        <w:rPr>
          <w:rFonts w:asciiTheme="minorHAnsi" w:hAnsiTheme="minorHAnsi" w:cstheme="minorHAnsi"/>
          <w:b/>
          <w:bCs/>
          <w:sz w:val="16"/>
          <w:szCs w:val="16"/>
        </w:rPr>
        <w:t>201</w:t>
      </w:r>
      <w:r w:rsidR="00DE3BF8">
        <w:rPr>
          <w:rFonts w:asciiTheme="minorHAnsi" w:hAnsiTheme="minorHAnsi" w:cstheme="minorHAnsi"/>
          <w:b/>
          <w:bCs/>
          <w:sz w:val="16"/>
          <w:szCs w:val="16"/>
        </w:rPr>
        <w:t>6</w:t>
      </w:r>
    </w:p>
    <w:tbl>
      <w:tblPr>
        <w:tblW w:w="10206" w:type="dxa"/>
        <w:tblLayout w:type="fixed"/>
        <w:tblLook w:val="00A0" w:firstRow="1" w:lastRow="0" w:firstColumn="1" w:lastColumn="0" w:noHBand="0" w:noVBand="0"/>
      </w:tblPr>
      <w:tblGrid>
        <w:gridCol w:w="6379"/>
        <w:gridCol w:w="1701"/>
        <w:gridCol w:w="425"/>
        <w:gridCol w:w="1701"/>
      </w:tblGrid>
      <w:tr w:rsidR="00D741EE" w:rsidRPr="006D0DA3" w:rsidTr="0029016B">
        <w:trPr>
          <w:trHeight w:val="227"/>
        </w:trPr>
        <w:tc>
          <w:tcPr>
            <w:tcW w:w="6379" w:type="dxa"/>
            <w:noWrap/>
          </w:tcPr>
          <w:p w:rsidR="00D741EE" w:rsidRPr="006D0DA3" w:rsidRDefault="00D741EE" w:rsidP="00E73B4D">
            <w:pPr>
              <w:spacing w:after="0" w:line="240" w:lineRule="auto"/>
              <w:ind w:left="-108"/>
              <w:rPr>
                <w:rFonts w:asciiTheme="minorHAnsi" w:hAnsiTheme="minorHAnsi" w:cstheme="minorHAnsi"/>
                <w:color w:val="000000"/>
                <w:sz w:val="16"/>
                <w:szCs w:val="16"/>
              </w:rPr>
            </w:pPr>
          </w:p>
        </w:tc>
        <w:tc>
          <w:tcPr>
            <w:tcW w:w="1701" w:type="dxa"/>
            <w:shd w:val="clear" w:color="auto" w:fill="auto"/>
            <w:noWrap/>
          </w:tcPr>
          <w:p w:rsidR="00D741EE" w:rsidRPr="006D0DA3" w:rsidRDefault="00D741EE" w:rsidP="00223B18">
            <w:pPr>
              <w:spacing w:after="0" w:line="240" w:lineRule="auto"/>
              <w:jc w:val="right"/>
              <w:rPr>
                <w:rFonts w:asciiTheme="minorHAnsi" w:hAnsiTheme="minorHAnsi" w:cstheme="minorHAnsi"/>
                <w:b/>
                <w:color w:val="000000"/>
                <w:sz w:val="16"/>
                <w:szCs w:val="16"/>
              </w:rPr>
            </w:pPr>
          </w:p>
        </w:tc>
        <w:tc>
          <w:tcPr>
            <w:tcW w:w="425" w:type="dxa"/>
          </w:tcPr>
          <w:p w:rsidR="00D741EE" w:rsidRPr="006D0DA3" w:rsidRDefault="00D741EE" w:rsidP="00223B18">
            <w:pPr>
              <w:spacing w:after="0" w:line="240" w:lineRule="auto"/>
              <w:jc w:val="right"/>
              <w:rPr>
                <w:rFonts w:asciiTheme="minorHAnsi" w:hAnsiTheme="minorHAnsi" w:cstheme="minorHAnsi"/>
                <w:b/>
                <w:color w:val="000000"/>
                <w:sz w:val="16"/>
                <w:szCs w:val="16"/>
              </w:rPr>
            </w:pPr>
          </w:p>
        </w:tc>
        <w:tc>
          <w:tcPr>
            <w:tcW w:w="1701" w:type="dxa"/>
            <w:noWrap/>
          </w:tcPr>
          <w:p w:rsidR="00D741EE" w:rsidRPr="006D0DA3" w:rsidRDefault="00D741EE" w:rsidP="00212758">
            <w:pPr>
              <w:spacing w:after="0" w:line="240" w:lineRule="auto"/>
              <w:jc w:val="right"/>
              <w:rPr>
                <w:rFonts w:asciiTheme="minorHAnsi" w:hAnsiTheme="minorHAnsi" w:cstheme="minorHAnsi"/>
                <w:b/>
                <w:color w:val="000000"/>
                <w:sz w:val="16"/>
                <w:szCs w:val="16"/>
              </w:rPr>
            </w:pPr>
          </w:p>
        </w:tc>
      </w:tr>
      <w:tr w:rsidR="00D741EE" w:rsidRPr="006D0DA3" w:rsidTr="0029016B">
        <w:trPr>
          <w:trHeight w:val="227"/>
        </w:trPr>
        <w:tc>
          <w:tcPr>
            <w:tcW w:w="6379" w:type="dxa"/>
            <w:noWrap/>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shd w:val="clear" w:color="auto" w:fill="auto"/>
            <w:noWrap/>
          </w:tcPr>
          <w:p w:rsidR="00D741EE" w:rsidRPr="006D0DA3" w:rsidRDefault="00D741EE" w:rsidP="00223B18">
            <w:pPr>
              <w:spacing w:after="0" w:line="240" w:lineRule="auto"/>
              <w:jc w:val="right"/>
              <w:rPr>
                <w:rFonts w:asciiTheme="minorHAnsi" w:hAnsiTheme="minorHAnsi" w:cstheme="minorHAnsi"/>
                <w:b/>
                <w:color w:val="000000"/>
                <w:sz w:val="16"/>
                <w:szCs w:val="16"/>
              </w:rPr>
            </w:pPr>
          </w:p>
        </w:tc>
        <w:tc>
          <w:tcPr>
            <w:tcW w:w="425" w:type="dxa"/>
          </w:tcPr>
          <w:p w:rsidR="00D741EE" w:rsidRPr="006D0DA3" w:rsidRDefault="00D741EE" w:rsidP="00223B18">
            <w:pPr>
              <w:spacing w:after="0" w:line="240" w:lineRule="auto"/>
              <w:jc w:val="right"/>
              <w:rPr>
                <w:rFonts w:asciiTheme="minorHAnsi" w:hAnsiTheme="minorHAnsi" w:cstheme="minorHAnsi"/>
                <w:b/>
                <w:color w:val="000000"/>
                <w:sz w:val="16"/>
                <w:szCs w:val="16"/>
              </w:rPr>
            </w:pPr>
          </w:p>
        </w:tc>
        <w:tc>
          <w:tcPr>
            <w:tcW w:w="1701" w:type="dxa"/>
            <w:noWrap/>
          </w:tcPr>
          <w:p w:rsidR="00D741EE" w:rsidRPr="006D0DA3" w:rsidRDefault="007E1A5B" w:rsidP="00A95B96">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Preceding </w:t>
            </w:r>
          </w:p>
        </w:tc>
      </w:tr>
      <w:tr w:rsidR="00D741EE" w:rsidRPr="006D0DA3" w:rsidTr="0029016B">
        <w:trPr>
          <w:trHeight w:val="227"/>
        </w:trPr>
        <w:tc>
          <w:tcPr>
            <w:tcW w:w="6379" w:type="dxa"/>
            <w:noWrap/>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shd w:val="clear" w:color="auto" w:fill="auto"/>
            <w:noWrap/>
          </w:tcPr>
          <w:p w:rsidR="00D741EE" w:rsidRPr="006D0DA3" w:rsidRDefault="00A94CA5" w:rsidP="002D2AA9">
            <w:pPr>
              <w:spacing w:after="0" w:line="240" w:lineRule="auto"/>
              <w:jc w:val="right"/>
              <w:rPr>
                <w:rFonts w:asciiTheme="minorHAnsi" w:hAnsiTheme="minorHAnsi" w:cstheme="minorHAnsi"/>
                <w:b/>
                <w:color w:val="000000"/>
                <w:sz w:val="16"/>
                <w:szCs w:val="16"/>
              </w:rPr>
            </w:pPr>
            <w:r>
              <w:rPr>
                <w:rFonts w:asciiTheme="minorHAnsi" w:hAnsiTheme="minorHAnsi" w:cstheme="minorHAnsi"/>
                <w:b/>
                <w:color w:val="000000"/>
                <w:sz w:val="16"/>
                <w:szCs w:val="16"/>
              </w:rPr>
              <w:t>1</w:t>
            </w:r>
            <w:r w:rsidR="002D2AA9">
              <w:rPr>
                <w:rFonts w:asciiTheme="minorHAnsi" w:hAnsiTheme="minorHAnsi" w:cstheme="minorHAnsi"/>
                <w:b/>
                <w:color w:val="000000"/>
                <w:sz w:val="16"/>
                <w:szCs w:val="16"/>
              </w:rPr>
              <w:t>6</w:t>
            </w:r>
            <w:r>
              <w:rPr>
                <w:rFonts w:asciiTheme="minorHAnsi" w:hAnsiTheme="minorHAnsi" w:cstheme="minorHAnsi"/>
                <w:b/>
                <w:color w:val="000000"/>
                <w:sz w:val="16"/>
                <w:szCs w:val="16"/>
              </w:rPr>
              <w:t xml:space="preserve"> months </w:t>
            </w:r>
            <w:r w:rsidR="00D741EE" w:rsidRPr="006D0DA3">
              <w:rPr>
                <w:rFonts w:asciiTheme="minorHAnsi" w:hAnsiTheme="minorHAnsi" w:cstheme="minorHAnsi"/>
                <w:b/>
                <w:color w:val="000000"/>
                <w:sz w:val="16"/>
                <w:szCs w:val="16"/>
              </w:rPr>
              <w:t xml:space="preserve"> </w:t>
            </w:r>
          </w:p>
        </w:tc>
        <w:tc>
          <w:tcPr>
            <w:tcW w:w="425" w:type="dxa"/>
          </w:tcPr>
          <w:p w:rsidR="00D741EE" w:rsidRPr="006D0DA3" w:rsidRDefault="00D741EE" w:rsidP="00223B18">
            <w:pPr>
              <w:spacing w:after="0" w:line="240" w:lineRule="auto"/>
              <w:jc w:val="right"/>
              <w:rPr>
                <w:rFonts w:asciiTheme="minorHAnsi" w:hAnsiTheme="minorHAnsi" w:cstheme="minorHAnsi"/>
                <w:b/>
                <w:color w:val="000000"/>
                <w:sz w:val="16"/>
                <w:szCs w:val="16"/>
              </w:rPr>
            </w:pPr>
          </w:p>
        </w:tc>
        <w:tc>
          <w:tcPr>
            <w:tcW w:w="1701" w:type="dxa"/>
            <w:noWrap/>
          </w:tcPr>
          <w:p w:rsidR="00D741EE" w:rsidRPr="006D0DA3" w:rsidRDefault="00D741EE"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corresponding </w:t>
            </w:r>
          </w:p>
        </w:tc>
      </w:tr>
      <w:tr w:rsidR="00D741EE" w:rsidRPr="006D0DA3" w:rsidTr="0029016B">
        <w:trPr>
          <w:trHeight w:val="227"/>
        </w:trPr>
        <w:tc>
          <w:tcPr>
            <w:tcW w:w="6379" w:type="dxa"/>
            <w:noWrap/>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shd w:val="clear" w:color="auto" w:fill="auto"/>
            <w:noWrap/>
          </w:tcPr>
          <w:p w:rsidR="00D741EE" w:rsidRPr="006D0DA3" w:rsidRDefault="00D741EE" w:rsidP="00A94CA5">
            <w:pPr>
              <w:spacing w:after="0" w:line="240" w:lineRule="auto"/>
              <w:ind w:hanging="108"/>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to date </w:t>
            </w:r>
          </w:p>
        </w:tc>
        <w:tc>
          <w:tcPr>
            <w:tcW w:w="425" w:type="dxa"/>
          </w:tcPr>
          <w:p w:rsidR="00D741EE" w:rsidRPr="006D0DA3" w:rsidRDefault="00D741EE" w:rsidP="00223B18">
            <w:pPr>
              <w:spacing w:after="0" w:line="240" w:lineRule="auto"/>
              <w:jc w:val="right"/>
              <w:rPr>
                <w:rFonts w:asciiTheme="minorHAnsi" w:hAnsiTheme="minorHAnsi" w:cstheme="minorHAnsi"/>
                <w:b/>
                <w:color w:val="000000"/>
                <w:sz w:val="16"/>
                <w:szCs w:val="16"/>
              </w:rPr>
            </w:pPr>
          </w:p>
        </w:tc>
        <w:tc>
          <w:tcPr>
            <w:tcW w:w="1701" w:type="dxa"/>
            <w:noWrap/>
          </w:tcPr>
          <w:p w:rsidR="00D741EE" w:rsidRPr="006D0DA3" w:rsidRDefault="00CF7476"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P</w:t>
            </w:r>
            <w:r w:rsidR="00D741EE" w:rsidRPr="006D0DA3">
              <w:rPr>
                <w:rFonts w:asciiTheme="minorHAnsi" w:hAnsiTheme="minorHAnsi" w:cstheme="minorHAnsi"/>
                <w:b/>
                <w:color w:val="000000"/>
                <w:sz w:val="16"/>
                <w:szCs w:val="16"/>
              </w:rPr>
              <w:t>eriod</w:t>
            </w:r>
            <w:r w:rsidRPr="006D0DA3">
              <w:rPr>
                <w:rFonts w:asciiTheme="minorHAnsi" w:hAnsiTheme="minorHAnsi" w:cstheme="minorHAnsi"/>
                <w:b/>
                <w:color w:val="000000"/>
                <w:sz w:val="16"/>
                <w:szCs w:val="16"/>
              </w:rPr>
              <w:t xml:space="preserve"> Ended</w:t>
            </w:r>
          </w:p>
        </w:tc>
      </w:tr>
      <w:tr w:rsidR="00D741EE" w:rsidRPr="006D0DA3" w:rsidTr="0029016B">
        <w:trPr>
          <w:trHeight w:val="227"/>
        </w:trPr>
        <w:tc>
          <w:tcPr>
            <w:tcW w:w="6379" w:type="dxa"/>
            <w:noWrap/>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shd w:val="clear" w:color="auto" w:fill="auto"/>
            <w:noWrap/>
          </w:tcPr>
          <w:p w:rsidR="00D741EE" w:rsidRPr="006D0DA3" w:rsidRDefault="009A6796" w:rsidP="00AE0B51">
            <w:pPr>
              <w:spacing w:after="0" w:line="240" w:lineRule="auto"/>
              <w:ind w:hanging="108"/>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31 July 2016</w:t>
            </w:r>
          </w:p>
        </w:tc>
        <w:tc>
          <w:tcPr>
            <w:tcW w:w="425" w:type="dxa"/>
          </w:tcPr>
          <w:p w:rsidR="00D741EE" w:rsidRPr="006D0DA3" w:rsidRDefault="00D741EE" w:rsidP="00223B18">
            <w:pPr>
              <w:spacing w:after="0" w:line="240" w:lineRule="auto"/>
              <w:jc w:val="right"/>
              <w:rPr>
                <w:rFonts w:asciiTheme="minorHAnsi" w:hAnsiTheme="minorHAnsi" w:cstheme="minorHAnsi"/>
                <w:b/>
                <w:bCs/>
                <w:color w:val="000000"/>
                <w:sz w:val="16"/>
                <w:szCs w:val="16"/>
              </w:rPr>
            </w:pPr>
          </w:p>
        </w:tc>
        <w:tc>
          <w:tcPr>
            <w:tcW w:w="1701" w:type="dxa"/>
            <w:noWrap/>
          </w:tcPr>
          <w:p w:rsidR="00D741EE" w:rsidRPr="006D0DA3" w:rsidRDefault="00D741EE" w:rsidP="00AE0B51">
            <w:pPr>
              <w:spacing w:after="0" w:line="240" w:lineRule="auto"/>
              <w:jc w:val="right"/>
              <w:rPr>
                <w:rFonts w:asciiTheme="minorHAnsi" w:hAnsiTheme="minorHAnsi" w:cstheme="minorHAnsi"/>
                <w:b/>
                <w:bCs/>
                <w:color w:val="000000"/>
                <w:sz w:val="16"/>
                <w:szCs w:val="16"/>
              </w:rPr>
            </w:pPr>
            <w:r w:rsidRPr="006D0DA3">
              <w:rPr>
                <w:rFonts w:asciiTheme="minorHAnsi" w:hAnsiTheme="minorHAnsi" w:cstheme="minorHAnsi"/>
                <w:b/>
                <w:bCs/>
                <w:color w:val="000000"/>
                <w:sz w:val="16"/>
                <w:szCs w:val="16"/>
              </w:rPr>
              <w:t xml:space="preserve"> </w:t>
            </w:r>
            <w:r w:rsidR="00A94CA5" w:rsidRPr="006D0DA3">
              <w:rPr>
                <w:rFonts w:asciiTheme="minorHAnsi" w:hAnsiTheme="minorHAnsi" w:cstheme="minorHAnsi"/>
                <w:b/>
                <w:bCs/>
                <w:color w:val="000000"/>
                <w:sz w:val="16"/>
                <w:szCs w:val="16"/>
              </w:rPr>
              <w:t>3</w:t>
            </w:r>
            <w:r w:rsidR="00A94CA5">
              <w:rPr>
                <w:rFonts w:asciiTheme="minorHAnsi" w:hAnsiTheme="minorHAnsi" w:cstheme="minorHAnsi"/>
                <w:b/>
                <w:bCs/>
                <w:color w:val="000000"/>
                <w:sz w:val="16"/>
                <w:szCs w:val="16"/>
              </w:rPr>
              <w:t>0 June</w:t>
            </w:r>
            <w:r w:rsidR="00A94CA5" w:rsidRPr="006D0DA3">
              <w:rPr>
                <w:rFonts w:asciiTheme="minorHAnsi" w:hAnsiTheme="minorHAnsi" w:cstheme="minorHAnsi"/>
                <w:b/>
                <w:bCs/>
                <w:color w:val="000000"/>
                <w:sz w:val="16"/>
                <w:szCs w:val="16"/>
              </w:rPr>
              <w:t xml:space="preserve"> </w:t>
            </w:r>
            <w:r w:rsidR="00DA5466" w:rsidRPr="006D0DA3">
              <w:rPr>
                <w:rFonts w:asciiTheme="minorHAnsi" w:hAnsiTheme="minorHAnsi" w:cstheme="minorHAnsi"/>
                <w:b/>
                <w:bCs/>
                <w:color w:val="000000"/>
                <w:sz w:val="16"/>
                <w:szCs w:val="16"/>
              </w:rPr>
              <w:t>201</w:t>
            </w:r>
            <w:r w:rsidR="00AE0B51">
              <w:rPr>
                <w:rFonts w:asciiTheme="minorHAnsi" w:hAnsiTheme="minorHAnsi" w:cstheme="minorHAnsi"/>
                <w:b/>
                <w:bCs/>
                <w:color w:val="000000"/>
                <w:sz w:val="16"/>
                <w:szCs w:val="16"/>
              </w:rPr>
              <w:t>5</w:t>
            </w:r>
          </w:p>
        </w:tc>
      </w:tr>
      <w:tr w:rsidR="00D741EE" w:rsidRPr="006D0DA3" w:rsidTr="0029016B">
        <w:trPr>
          <w:trHeight w:val="227"/>
        </w:trPr>
        <w:tc>
          <w:tcPr>
            <w:tcW w:w="6379" w:type="dxa"/>
            <w:noWrap/>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shd w:val="clear" w:color="auto" w:fill="auto"/>
            <w:noWrap/>
          </w:tcPr>
          <w:p w:rsidR="00D741EE" w:rsidRPr="006D0DA3" w:rsidRDefault="00D741EE"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RM'000 </w:t>
            </w:r>
          </w:p>
        </w:tc>
        <w:tc>
          <w:tcPr>
            <w:tcW w:w="425" w:type="dxa"/>
          </w:tcPr>
          <w:p w:rsidR="00D741EE" w:rsidRPr="006D0DA3" w:rsidRDefault="00D741EE" w:rsidP="00223B18">
            <w:pPr>
              <w:spacing w:after="0" w:line="240" w:lineRule="auto"/>
              <w:jc w:val="right"/>
              <w:rPr>
                <w:rFonts w:asciiTheme="minorHAnsi" w:hAnsiTheme="minorHAnsi" w:cstheme="minorHAnsi"/>
                <w:b/>
                <w:color w:val="000000"/>
                <w:sz w:val="16"/>
                <w:szCs w:val="16"/>
              </w:rPr>
            </w:pPr>
          </w:p>
        </w:tc>
        <w:tc>
          <w:tcPr>
            <w:tcW w:w="1701" w:type="dxa"/>
            <w:noWrap/>
          </w:tcPr>
          <w:p w:rsidR="00D741EE" w:rsidRPr="006D0DA3" w:rsidRDefault="00D741EE"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RM'000 </w:t>
            </w:r>
          </w:p>
        </w:tc>
      </w:tr>
      <w:tr w:rsidR="00D741EE" w:rsidRPr="006D0DA3" w:rsidTr="0029016B">
        <w:trPr>
          <w:trHeight w:val="227"/>
        </w:trPr>
        <w:tc>
          <w:tcPr>
            <w:tcW w:w="6379" w:type="dxa"/>
            <w:noWrap/>
          </w:tcPr>
          <w:p w:rsidR="00D741EE" w:rsidRPr="006D0DA3" w:rsidRDefault="00D741EE"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CASH FLOW FROM OPERATING ACTIVITIES</w:t>
            </w:r>
          </w:p>
        </w:tc>
        <w:tc>
          <w:tcPr>
            <w:tcW w:w="1701" w:type="dxa"/>
            <w:shd w:val="clear" w:color="auto" w:fill="auto"/>
            <w:noWrap/>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noWrap/>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noWrap/>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shd w:val="clear" w:color="auto" w:fill="auto"/>
            <w:noWrap/>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noWrap/>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right w:val="nil"/>
            </w:tcBorders>
            <w:noWrap/>
            <w:vAlign w:val="bottom"/>
          </w:tcPr>
          <w:p w:rsidR="00D741EE" w:rsidRPr="006D0DA3" w:rsidRDefault="00BF74EA"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Loss</w:t>
            </w:r>
            <w:r w:rsidR="00D741EE" w:rsidRPr="006D0DA3">
              <w:rPr>
                <w:rFonts w:asciiTheme="minorHAnsi" w:hAnsiTheme="minorHAnsi" w:cstheme="minorHAnsi"/>
                <w:color w:val="000000"/>
                <w:sz w:val="16"/>
                <w:szCs w:val="16"/>
              </w:rPr>
              <w:t xml:space="preserve"> Before Taxation</w:t>
            </w:r>
          </w:p>
        </w:tc>
        <w:tc>
          <w:tcPr>
            <w:tcW w:w="1701" w:type="dxa"/>
            <w:tcBorders>
              <w:top w:val="nil"/>
              <w:left w:val="nil"/>
              <w:right w:val="nil"/>
            </w:tcBorders>
            <w:shd w:val="clear" w:color="auto" w:fill="auto"/>
            <w:noWrap/>
            <w:vAlign w:val="bottom"/>
          </w:tcPr>
          <w:p w:rsidR="00D741EE" w:rsidRPr="006D0DA3" w:rsidRDefault="00D741EE" w:rsidP="00FF4DD4">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r w:rsidR="00FF6650">
              <w:rPr>
                <w:rFonts w:asciiTheme="minorHAnsi" w:hAnsiTheme="minorHAnsi" w:cstheme="minorHAnsi"/>
                <w:color w:val="000000"/>
                <w:sz w:val="16"/>
                <w:szCs w:val="16"/>
              </w:rPr>
              <w:t>1</w:t>
            </w:r>
            <w:r w:rsidR="00FF4DD4">
              <w:rPr>
                <w:rFonts w:asciiTheme="minorHAnsi" w:hAnsiTheme="minorHAnsi" w:cstheme="minorHAnsi"/>
                <w:color w:val="000000"/>
                <w:sz w:val="16"/>
                <w:szCs w:val="16"/>
              </w:rPr>
              <w:t>1,213</w:t>
            </w:r>
            <w:r w:rsidRPr="006D0DA3">
              <w:rPr>
                <w:rFonts w:asciiTheme="minorHAnsi" w:hAnsiTheme="minorHAnsi" w:cstheme="minorHAnsi"/>
                <w:color w:val="000000"/>
                <w:sz w:val="16"/>
                <w:szCs w:val="16"/>
              </w:rPr>
              <w:t>)</w:t>
            </w:r>
          </w:p>
        </w:tc>
        <w:tc>
          <w:tcPr>
            <w:tcW w:w="425" w:type="dxa"/>
            <w:tcBorders>
              <w:top w:val="nil"/>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right w:val="nil"/>
            </w:tcBorders>
            <w:noWrap/>
            <w:vAlign w:val="bottom"/>
          </w:tcPr>
          <w:p w:rsidR="00D741EE" w:rsidRPr="000B6C97" w:rsidRDefault="000B6C97" w:rsidP="006A69F6">
            <w:pPr>
              <w:spacing w:after="0" w:line="240" w:lineRule="auto"/>
              <w:jc w:val="right"/>
              <w:rPr>
                <w:rFonts w:asciiTheme="minorHAnsi" w:hAnsiTheme="minorHAnsi" w:cstheme="minorHAnsi"/>
                <w:color w:val="000000"/>
                <w:sz w:val="16"/>
                <w:szCs w:val="16"/>
              </w:rPr>
            </w:pPr>
            <w:r w:rsidRPr="000B6C97">
              <w:rPr>
                <w:sz w:val="16"/>
                <w:szCs w:val="16"/>
              </w:rPr>
              <w:t>(13,229)</w:t>
            </w:r>
          </w:p>
        </w:tc>
      </w:tr>
      <w:tr w:rsidR="00D741EE" w:rsidRPr="006D0DA3" w:rsidTr="0029016B">
        <w:trPr>
          <w:trHeight w:val="227"/>
        </w:trPr>
        <w:tc>
          <w:tcPr>
            <w:tcW w:w="6379" w:type="dxa"/>
            <w:tcBorders>
              <w:left w:val="nil"/>
              <w:bottom w:val="nil"/>
              <w:right w:val="nil"/>
            </w:tcBorders>
            <w:noWrap/>
            <w:vAlign w:val="bottom"/>
          </w:tcPr>
          <w:p w:rsidR="00D741EE" w:rsidRPr="006D0DA3" w:rsidRDefault="00D741EE" w:rsidP="0047659D">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Adjustments for Non-cash items</w:t>
            </w:r>
            <w:r w:rsidR="004822D9">
              <w:rPr>
                <w:rFonts w:asciiTheme="minorHAnsi" w:hAnsiTheme="minorHAnsi" w:cstheme="minorHAnsi"/>
                <w:color w:val="000000"/>
                <w:sz w:val="16"/>
                <w:szCs w:val="16"/>
              </w:rPr>
              <w:t xml:space="preserve"> </w:t>
            </w:r>
          </w:p>
        </w:tc>
        <w:tc>
          <w:tcPr>
            <w:tcW w:w="1701" w:type="dxa"/>
            <w:tcBorders>
              <w:left w:val="nil"/>
              <w:bottom w:val="single" w:sz="4" w:space="0" w:color="auto"/>
              <w:right w:val="nil"/>
            </w:tcBorders>
            <w:shd w:val="clear" w:color="auto" w:fill="auto"/>
            <w:noWrap/>
            <w:vAlign w:val="bottom"/>
          </w:tcPr>
          <w:p w:rsidR="00D741EE" w:rsidRPr="006D0DA3" w:rsidRDefault="00A86999" w:rsidP="00FF4DD4">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r w:rsidR="0018196F">
              <w:rPr>
                <w:rFonts w:asciiTheme="minorHAnsi" w:hAnsiTheme="minorHAnsi" w:cstheme="minorHAnsi"/>
                <w:color w:val="000000"/>
                <w:sz w:val="16"/>
                <w:szCs w:val="16"/>
              </w:rPr>
              <w:t>10,</w:t>
            </w:r>
            <w:r w:rsidR="00FF4DD4">
              <w:rPr>
                <w:rFonts w:asciiTheme="minorHAnsi" w:hAnsiTheme="minorHAnsi" w:cstheme="minorHAnsi"/>
                <w:color w:val="000000"/>
                <w:sz w:val="16"/>
                <w:szCs w:val="16"/>
              </w:rPr>
              <w:t>139</w:t>
            </w:r>
          </w:p>
        </w:tc>
        <w:tc>
          <w:tcPr>
            <w:tcW w:w="425" w:type="dxa"/>
            <w:tcBorders>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left w:val="nil"/>
              <w:bottom w:val="single" w:sz="4" w:space="0" w:color="auto"/>
              <w:right w:val="nil"/>
            </w:tcBorders>
            <w:noWrap/>
            <w:vAlign w:val="bottom"/>
          </w:tcPr>
          <w:p w:rsidR="00D741EE" w:rsidRPr="000B6C97" w:rsidRDefault="000B6C97" w:rsidP="00F64E7B">
            <w:pPr>
              <w:spacing w:after="0" w:line="240" w:lineRule="auto"/>
              <w:jc w:val="right"/>
              <w:rPr>
                <w:rFonts w:asciiTheme="minorHAnsi" w:hAnsiTheme="minorHAnsi" w:cstheme="minorHAnsi"/>
                <w:color w:val="000000"/>
                <w:sz w:val="16"/>
                <w:szCs w:val="16"/>
              </w:rPr>
            </w:pPr>
            <w:r w:rsidRPr="000B6C97">
              <w:rPr>
                <w:sz w:val="16"/>
                <w:szCs w:val="16"/>
              </w:rPr>
              <w:t>6,462</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BF74EA"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Operating loss</w:t>
            </w:r>
            <w:r w:rsidR="00D741EE" w:rsidRPr="006D0DA3">
              <w:rPr>
                <w:rFonts w:asciiTheme="minorHAnsi" w:hAnsiTheme="minorHAnsi" w:cstheme="minorHAnsi"/>
                <w:color w:val="000000"/>
                <w:sz w:val="16"/>
                <w:szCs w:val="16"/>
              </w:rPr>
              <w:t xml:space="preserve"> before working capital changes</w:t>
            </w:r>
          </w:p>
        </w:tc>
        <w:tc>
          <w:tcPr>
            <w:tcW w:w="1701" w:type="dxa"/>
            <w:tcBorders>
              <w:top w:val="nil"/>
              <w:left w:val="nil"/>
              <w:bottom w:val="nil"/>
              <w:right w:val="nil"/>
            </w:tcBorders>
            <w:shd w:val="clear" w:color="auto" w:fill="auto"/>
            <w:noWrap/>
            <w:vAlign w:val="bottom"/>
          </w:tcPr>
          <w:p w:rsidR="00D741EE" w:rsidRPr="006D0DA3" w:rsidRDefault="0018196F" w:rsidP="00FF4DD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00FF4DD4">
              <w:rPr>
                <w:rFonts w:asciiTheme="minorHAnsi" w:hAnsiTheme="minorHAnsi" w:cstheme="minorHAnsi"/>
                <w:color w:val="000000"/>
                <w:sz w:val="16"/>
                <w:szCs w:val="16"/>
              </w:rPr>
              <w:t>1,074</w:t>
            </w:r>
            <w:r w:rsidR="00FF6650">
              <w:rPr>
                <w:rFonts w:asciiTheme="minorHAnsi" w:hAnsiTheme="minorHAnsi" w:cstheme="minorHAnsi"/>
                <w:color w:val="000000"/>
                <w:sz w:val="16"/>
                <w:szCs w:val="16"/>
              </w:rPr>
              <w:t>)</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0B6C97" w:rsidP="00F64E7B">
            <w:pPr>
              <w:spacing w:after="0" w:line="240" w:lineRule="auto"/>
              <w:jc w:val="right"/>
              <w:rPr>
                <w:rFonts w:asciiTheme="minorHAnsi" w:hAnsiTheme="minorHAnsi" w:cstheme="minorHAnsi"/>
                <w:color w:val="000000"/>
                <w:sz w:val="16"/>
                <w:szCs w:val="16"/>
              </w:rPr>
            </w:pPr>
            <w:r w:rsidRPr="000B6C97">
              <w:rPr>
                <w:sz w:val="16"/>
                <w:szCs w:val="16"/>
              </w:rPr>
              <w:t>(6,767)</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Changes in working capital</w:t>
            </w: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8171D9">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Net change in inventories</w:t>
            </w:r>
          </w:p>
        </w:tc>
        <w:tc>
          <w:tcPr>
            <w:tcW w:w="1701" w:type="dxa"/>
            <w:tcBorders>
              <w:top w:val="nil"/>
              <w:left w:val="nil"/>
              <w:bottom w:val="nil"/>
              <w:right w:val="nil"/>
            </w:tcBorders>
            <w:shd w:val="clear" w:color="auto" w:fill="auto"/>
            <w:noWrap/>
            <w:vAlign w:val="bottom"/>
          </w:tcPr>
          <w:p w:rsidR="00D741EE" w:rsidRPr="006D0DA3" w:rsidRDefault="003F7104" w:rsidP="0018196F">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23</w:t>
            </w:r>
            <w:r w:rsidR="0018196F">
              <w:rPr>
                <w:rFonts w:asciiTheme="minorHAnsi" w:hAnsiTheme="minorHAnsi" w:cstheme="minorHAnsi"/>
                <w:color w:val="000000"/>
                <w:sz w:val="16"/>
                <w:szCs w:val="16"/>
              </w:rPr>
              <w:t>6</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870B90" w:rsidP="00870B90">
            <w:pPr>
              <w:spacing w:after="0" w:line="240" w:lineRule="auto"/>
              <w:jc w:val="right"/>
              <w:rPr>
                <w:rFonts w:asciiTheme="minorHAnsi" w:hAnsiTheme="minorHAnsi" w:cstheme="minorHAnsi"/>
                <w:color w:val="000000"/>
                <w:sz w:val="16"/>
                <w:szCs w:val="16"/>
              </w:rPr>
            </w:pPr>
            <w:r w:rsidRPr="00870B90">
              <w:rPr>
                <w:sz w:val="16"/>
                <w:szCs w:val="16"/>
              </w:rPr>
              <w:t xml:space="preserve">(13) </w:t>
            </w:r>
          </w:p>
        </w:tc>
      </w:tr>
      <w:tr w:rsidR="00D741EE" w:rsidRPr="006D0DA3" w:rsidTr="0029016B">
        <w:trPr>
          <w:trHeight w:val="227"/>
        </w:trPr>
        <w:tc>
          <w:tcPr>
            <w:tcW w:w="6379" w:type="dxa"/>
            <w:tcBorders>
              <w:top w:val="nil"/>
              <w:left w:val="nil"/>
              <w:right w:val="nil"/>
            </w:tcBorders>
            <w:noWrap/>
            <w:vAlign w:val="bottom"/>
          </w:tcPr>
          <w:p w:rsidR="00D741EE" w:rsidRPr="006D0DA3" w:rsidRDefault="00D741EE" w:rsidP="008171D9">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Net change in trade and other receivables</w:t>
            </w:r>
          </w:p>
        </w:tc>
        <w:tc>
          <w:tcPr>
            <w:tcW w:w="1701" w:type="dxa"/>
            <w:tcBorders>
              <w:top w:val="nil"/>
              <w:left w:val="nil"/>
              <w:right w:val="nil"/>
            </w:tcBorders>
            <w:shd w:val="clear" w:color="auto" w:fill="auto"/>
            <w:noWrap/>
            <w:vAlign w:val="bottom"/>
          </w:tcPr>
          <w:p w:rsidR="00D741EE" w:rsidRPr="006D0DA3" w:rsidRDefault="00EF1676" w:rsidP="00FF4DD4">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18196F">
              <w:rPr>
                <w:rFonts w:asciiTheme="minorHAnsi" w:hAnsiTheme="minorHAnsi" w:cstheme="minorHAnsi"/>
                <w:color w:val="000000"/>
                <w:sz w:val="16"/>
                <w:szCs w:val="16"/>
              </w:rPr>
              <w:t>4,</w:t>
            </w:r>
            <w:r w:rsidR="00FF4DD4">
              <w:rPr>
                <w:rFonts w:asciiTheme="minorHAnsi" w:hAnsiTheme="minorHAnsi" w:cstheme="minorHAnsi"/>
                <w:color w:val="000000"/>
                <w:sz w:val="16"/>
                <w:szCs w:val="16"/>
              </w:rPr>
              <w:t>929</w:t>
            </w:r>
            <w:r w:rsidR="006C6DBB" w:rsidRPr="006D0DA3">
              <w:rPr>
                <w:rFonts w:asciiTheme="minorHAnsi" w:hAnsiTheme="minorHAnsi" w:cstheme="minorHAnsi"/>
                <w:color w:val="000000"/>
                <w:sz w:val="16"/>
                <w:szCs w:val="16"/>
              </w:rPr>
              <w:t>)</w:t>
            </w:r>
          </w:p>
        </w:tc>
        <w:tc>
          <w:tcPr>
            <w:tcW w:w="425" w:type="dxa"/>
            <w:tcBorders>
              <w:top w:val="nil"/>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right w:val="nil"/>
            </w:tcBorders>
            <w:noWrap/>
            <w:vAlign w:val="bottom"/>
          </w:tcPr>
          <w:p w:rsidR="00D741EE" w:rsidRPr="006D0DA3" w:rsidRDefault="00870B90" w:rsidP="00F64E7B">
            <w:pPr>
              <w:spacing w:after="0" w:line="240" w:lineRule="auto"/>
              <w:jc w:val="right"/>
              <w:rPr>
                <w:rFonts w:asciiTheme="minorHAnsi" w:hAnsiTheme="minorHAnsi" w:cstheme="minorHAnsi"/>
                <w:color w:val="000000"/>
                <w:sz w:val="16"/>
                <w:szCs w:val="16"/>
              </w:rPr>
            </w:pPr>
            <w:r w:rsidRPr="00870B90">
              <w:rPr>
                <w:sz w:val="16"/>
                <w:szCs w:val="16"/>
              </w:rPr>
              <w:t>(2,324)</w:t>
            </w:r>
          </w:p>
        </w:tc>
      </w:tr>
      <w:tr w:rsidR="00D741EE" w:rsidRPr="006D0DA3" w:rsidTr="0029016B">
        <w:trPr>
          <w:trHeight w:val="227"/>
        </w:trPr>
        <w:tc>
          <w:tcPr>
            <w:tcW w:w="6379" w:type="dxa"/>
            <w:tcBorders>
              <w:top w:val="nil"/>
              <w:left w:val="nil"/>
              <w:right w:val="nil"/>
            </w:tcBorders>
            <w:noWrap/>
            <w:vAlign w:val="bottom"/>
          </w:tcPr>
          <w:p w:rsidR="00D741EE" w:rsidRPr="006D0DA3" w:rsidRDefault="00D741EE" w:rsidP="008171D9">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Net change in trade and other payables</w:t>
            </w:r>
          </w:p>
        </w:tc>
        <w:tc>
          <w:tcPr>
            <w:tcW w:w="1701" w:type="dxa"/>
            <w:tcBorders>
              <w:left w:val="nil"/>
              <w:right w:val="nil"/>
            </w:tcBorders>
            <w:shd w:val="clear" w:color="auto" w:fill="auto"/>
            <w:noWrap/>
            <w:vAlign w:val="bottom"/>
          </w:tcPr>
          <w:p w:rsidR="00D741EE" w:rsidRPr="006D0DA3" w:rsidRDefault="000D1210" w:rsidP="00FF4DD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0018196F">
              <w:rPr>
                <w:rFonts w:asciiTheme="minorHAnsi" w:hAnsiTheme="minorHAnsi" w:cstheme="minorHAnsi"/>
                <w:color w:val="000000"/>
                <w:sz w:val="16"/>
                <w:szCs w:val="16"/>
              </w:rPr>
              <w:t>1,</w:t>
            </w:r>
            <w:r w:rsidR="00FF4DD4">
              <w:rPr>
                <w:rFonts w:asciiTheme="minorHAnsi" w:hAnsiTheme="minorHAnsi" w:cstheme="minorHAnsi"/>
                <w:color w:val="000000"/>
                <w:sz w:val="16"/>
                <w:szCs w:val="16"/>
              </w:rPr>
              <w:t>709</w:t>
            </w:r>
            <w:r w:rsidR="003F7104">
              <w:rPr>
                <w:rFonts w:asciiTheme="minorHAnsi" w:hAnsiTheme="minorHAnsi" w:cstheme="minorHAnsi"/>
                <w:color w:val="000000"/>
                <w:sz w:val="16"/>
                <w:szCs w:val="16"/>
              </w:rPr>
              <w:t>)</w:t>
            </w:r>
          </w:p>
        </w:tc>
        <w:tc>
          <w:tcPr>
            <w:tcW w:w="425" w:type="dxa"/>
            <w:tcBorders>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left w:val="nil"/>
              <w:right w:val="nil"/>
            </w:tcBorders>
            <w:noWrap/>
            <w:vAlign w:val="bottom"/>
          </w:tcPr>
          <w:p w:rsidR="00D741EE" w:rsidRPr="006D0DA3" w:rsidRDefault="00870B90" w:rsidP="00F64E7B">
            <w:pPr>
              <w:spacing w:after="0" w:line="240" w:lineRule="auto"/>
              <w:jc w:val="right"/>
              <w:rPr>
                <w:rFonts w:asciiTheme="minorHAnsi" w:hAnsiTheme="minorHAnsi" w:cstheme="minorHAnsi"/>
                <w:color w:val="000000"/>
                <w:sz w:val="16"/>
                <w:szCs w:val="16"/>
              </w:rPr>
            </w:pPr>
            <w:r w:rsidRPr="00870B90">
              <w:rPr>
                <w:sz w:val="16"/>
                <w:szCs w:val="16"/>
              </w:rPr>
              <w:t>2</w:t>
            </w:r>
            <w:r w:rsidRPr="000B6C97">
              <w:rPr>
                <w:sz w:val="16"/>
                <w:szCs w:val="16"/>
              </w:rPr>
              <w:t>,691</w:t>
            </w:r>
          </w:p>
        </w:tc>
      </w:tr>
      <w:tr w:rsidR="00D741EE" w:rsidRPr="006D0DA3" w:rsidTr="0029016B">
        <w:trPr>
          <w:trHeight w:val="227"/>
        </w:trPr>
        <w:tc>
          <w:tcPr>
            <w:tcW w:w="6379" w:type="dxa"/>
            <w:tcBorders>
              <w:left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tcBorders>
              <w:left w:val="nil"/>
              <w:bottom w:val="single" w:sz="4" w:space="0" w:color="auto"/>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left w:val="nil"/>
              <w:bottom w:val="single" w:sz="4" w:space="0" w:color="auto"/>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Net cash </w:t>
            </w:r>
            <w:r w:rsidR="00BF74EA" w:rsidRPr="006D0DA3">
              <w:rPr>
                <w:rFonts w:asciiTheme="minorHAnsi" w:hAnsiTheme="minorHAnsi" w:cstheme="minorHAnsi"/>
                <w:color w:val="000000"/>
                <w:sz w:val="16"/>
                <w:szCs w:val="16"/>
              </w:rPr>
              <w:t xml:space="preserve">flows </w:t>
            </w:r>
            <w:r w:rsidRPr="006D0DA3">
              <w:rPr>
                <w:rFonts w:asciiTheme="minorHAnsi" w:hAnsiTheme="minorHAnsi" w:cstheme="minorHAnsi"/>
                <w:color w:val="000000"/>
                <w:sz w:val="16"/>
                <w:szCs w:val="16"/>
              </w:rPr>
              <w:t>from operations</w:t>
            </w:r>
          </w:p>
        </w:tc>
        <w:tc>
          <w:tcPr>
            <w:tcW w:w="1701" w:type="dxa"/>
            <w:tcBorders>
              <w:top w:val="single" w:sz="4" w:space="0" w:color="auto"/>
              <w:left w:val="nil"/>
              <w:bottom w:val="nil"/>
              <w:right w:val="nil"/>
            </w:tcBorders>
            <w:shd w:val="clear" w:color="auto" w:fill="auto"/>
            <w:noWrap/>
            <w:vAlign w:val="bottom"/>
          </w:tcPr>
          <w:p w:rsidR="00D741EE" w:rsidRPr="006D0DA3" w:rsidRDefault="00A86999" w:rsidP="00A95B96">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A95B96">
              <w:rPr>
                <w:rFonts w:asciiTheme="minorHAnsi" w:hAnsiTheme="minorHAnsi" w:cstheme="minorHAnsi"/>
                <w:color w:val="000000"/>
                <w:sz w:val="16"/>
                <w:szCs w:val="16"/>
              </w:rPr>
              <w:t>7</w:t>
            </w:r>
            <w:r w:rsidR="00FF4DD4">
              <w:rPr>
                <w:rFonts w:asciiTheme="minorHAnsi" w:hAnsiTheme="minorHAnsi" w:cstheme="minorHAnsi"/>
                <w:color w:val="000000"/>
                <w:sz w:val="16"/>
                <w:szCs w:val="16"/>
              </w:rPr>
              <w:t>,4</w:t>
            </w:r>
            <w:r w:rsidR="00A95B96">
              <w:rPr>
                <w:rFonts w:asciiTheme="minorHAnsi" w:hAnsiTheme="minorHAnsi" w:cstheme="minorHAnsi"/>
                <w:color w:val="000000"/>
                <w:sz w:val="16"/>
                <w:szCs w:val="16"/>
              </w:rPr>
              <w:t>76</w:t>
            </w:r>
            <w:r w:rsidR="00EF1676" w:rsidRPr="006D0DA3">
              <w:rPr>
                <w:rFonts w:asciiTheme="minorHAnsi" w:hAnsiTheme="minorHAnsi" w:cstheme="minorHAnsi"/>
                <w:color w:val="000000"/>
                <w:sz w:val="16"/>
                <w:szCs w:val="16"/>
              </w:rPr>
              <w:t>)</w:t>
            </w:r>
          </w:p>
        </w:tc>
        <w:tc>
          <w:tcPr>
            <w:tcW w:w="425" w:type="dxa"/>
            <w:tcBorders>
              <w:left w:val="nil"/>
              <w:bottom w:val="nil"/>
              <w:right w:val="nil"/>
            </w:tcBorders>
          </w:tcPr>
          <w:p w:rsidR="00D741EE" w:rsidRPr="006D0DA3" w:rsidRDefault="00D741EE" w:rsidP="00D741EE">
            <w:pPr>
              <w:spacing w:after="0" w:line="240" w:lineRule="auto"/>
              <w:jc w:val="right"/>
              <w:rPr>
                <w:rFonts w:asciiTheme="minorHAnsi" w:hAnsiTheme="minorHAnsi" w:cstheme="minorHAnsi"/>
                <w:color w:val="000000"/>
                <w:sz w:val="16"/>
                <w:szCs w:val="16"/>
              </w:rPr>
            </w:pPr>
          </w:p>
        </w:tc>
        <w:tc>
          <w:tcPr>
            <w:tcW w:w="1701" w:type="dxa"/>
            <w:tcBorders>
              <w:top w:val="single" w:sz="4" w:space="0" w:color="auto"/>
              <w:left w:val="nil"/>
              <w:bottom w:val="nil"/>
              <w:right w:val="nil"/>
            </w:tcBorders>
            <w:noWrap/>
            <w:vAlign w:val="bottom"/>
          </w:tcPr>
          <w:p w:rsidR="00D741EE" w:rsidRPr="006D0DA3" w:rsidRDefault="00870B90" w:rsidP="00870B90">
            <w:pPr>
              <w:spacing w:after="0" w:line="240" w:lineRule="auto"/>
              <w:jc w:val="right"/>
              <w:rPr>
                <w:rFonts w:asciiTheme="minorHAnsi" w:hAnsiTheme="minorHAnsi" w:cstheme="minorHAnsi"/>
                <w:color w:val="000000"/>
                <w:sz w:val="16"/>
                <w:szCs w:val="16"/>
              </w:rPr>
            </w:pPr>
            <w:r w:rsidRPr="000B6C97">
              <w:rPr>
                <w:sz w:val="16"/>
                <w:szCs w:val="16"/>
              </w:rPr>
              <w:t xml:space="preserve">(6,413) </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8171D9" w:rsidP="008171D9">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T</w:t>
            </w:r>
            <w:r w:rsidR="00D741EE" w:rsidRPr="006D0DA3">
              <w:rPr>
                <w:rFonts w:asciiTheme="minorHAnsi" w:hAnsiTheme="minorHAnsi" w:cstheme="minorHAnsi"/>
                <w:color w:val="000000"/>
                <w:sz w:val="16"/>
                <w:szCs w:val="16"/>
              </w:rPr>
              <w:t>ax paid</w:t>
            </w:r>
          </w:p>
        </w:tc>
        <w:tc>
          <w:tcPr>
            <w:tcW w:w="1701" w:type="dxa"/>
            <w:tcBorders>
              <w:top w:val="nil"/>
              <w:left w:val="nil"/>
              <w:bottom w:val="nil"/>
              <w:right w:val="nil"/>
            </w:tcBorders>
            <w:shd w:val="clear" w:color="auto" w:fill="auto"/>
            <w:noWrap/>
            <w:vAlign w:val="bottom"/>
          </w:tcPr>
          <w:p w:rsidR="00D741EE" w:rsidRPr="006D0DA3" w:rsidRDefault="00FA25C2" w:rsidP="00223B18">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425" w:type="dxa"/>
            <w:tcBorders>
              <w:top w:val="nil"/>
              <w:left w:val="nil"/>
              <w:bottom w:val="nil"/>
              <w:right w:val="nil"/>
            </w:tcBorders>
          </w:tcPr>
          <w:p w:rsidR="00D741EE" w:rsidRPr="006D0DA3" w:rsidRDefault="00D741EE" w:rsidP="00223B18">
            <w:pPr>
              <w:spacing w:after="0" w:line="240" w:lineRule="auto"/>
              <w:ind w:right="80"/>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870B90" w:rsidP="006A69F6">
            <w:pPr>
              <w:spacing w:after="0" w:line="240" w:lineRule="auto"/>
              <w:jc w:val="right"/>
              <w:rPr>
                <w:rFonts w:asciiTheme="minorHAnsi" w:hAnsiTheme="minorHAnsi" w:cstheme="minorHAnsi"/>
                <w:color w:val="000000"/>
                <w:sz w:val="16"/>
                <w:szCs w:val="16"/>
              </w:rPr>
            </w:pPr>
            <w:r>
              <w:rPr>
                <w:sz w:val="16"/>
                <w:szCs w:val="16"/>
              </w:rPr>
              <w:t>1</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BF74EA"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Net cash flows </w:t>
            </w:r>
            <w:r w:rsidR="00D741EE" w:rsidRPr="006D0DA3">
              <w:rPr>
                <w:rFonts w:asciiTheme="minorHAnsi" w:hAnsiTheme="minorHAnsi" w:cstheme="minorHAnsi"/>
                <w:color w:val="000000"/>
                <w:sz w:val="16"/>
                <w:szCs w:val="16"/>
              </w:rPr>
              <w:t>from operating activities</w:t>
            </w:r>
          </w:p>
        </w:tc>
        <w:tc>
          <w:tcPr>
            <w:tcW w:w="1701" w:type="dxa"/>
            <w:tcBorders>
              <w:top w:val="single" w:sz="4" w:space="0" w:color="auto"/>
              <w:left w:val="nil"/>
              <w:bottom w:val="single" w:sz="4" w:space="0" w:color="auto"/>
              <w:right w:val="nil"/>
            </w:tcBorders>
            <w:shd w:val="clear" w:color="auto" w:fill="auto"/>
            <w:noWrap/>
            <w:vAlign w:val="bottom"/>
          </w:tcPr>
          <w:p w:rsidR="00D741EE" w:rsidRPr="006D0DA3" w:rsidRDefault="00A86999" w:rsidP="00A95B96">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A95B96">
              <w:rPr>
                <w:rFonts w:asciiTheme="minorHAnsi" w:hAnsiTheme="minorHAnsi" w:cstheme="minorHAnsi"/>
                <w:color w:val="000000"/>
                <w:sz w:val="16"/>
                <w:szCs w:val="16"/>
              </w:rPr>
              <w:t>7</w:t>
            </w:r>
            <w:r w:rsidR="00FF4DD4">
              <w:rPr>
                <w:rFonts w:asciiTheme="minorHAnsi" w:hAnsiTheme="minorHAnsi" w:cstheme="minorHAnsi"/>
                <w:color w:val="000000"/>
                <w:sz w:val="16"/>
                <w:szCs w:val="16"/>
              </w:rPr>
              <w:t>,4</w:t>
            </w:r>
            <w:r w:rsidR="00A95B96">
              <w:rPr>
                <w:rFonts w:asciiTheme="minorHAnsi" w:hAnsiTheme="minorHAnsi" w:cstheme="minorHAnsi"/>
                <w:color w:val="000000"/>
                <w:sz w:val="16"/>
                <w:szCs w:val="16"/>
              </w:rPr>
              <w:t>76</w:t>
            </w:r>
            <w:r w:rsidR="00EF1676" w:rsidRPr="006D0DA3">
              <w:rPr>
                <w:rFonts w:asciiTheme="minorHAnsi" w:hAnsiTheme="minorHAnsi" w:cstheme="minorHAnsi"/>
                <w:color w:val="000000"/>
                <w:sz w:val="16"/>
                <w:szCs w:val="16"/>
              </w:rPr>
              <w:t>)</w:t>
            </w:r>
          </w:p>
        </w:tc>
        <w:tc>
          <w:tcPr>
            <w:tcW w:w="425" w:type="dxa"/>
            <w:tcBorders>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single" w:sz="4" w:space="0" w:color="auto"/>
              <w:left w:val="nil"/>
              <w:bottom w:val="single" w:sz="4" w:space="0" w:color="auto"/>
              <w:right w:val="nil"/>
            </w:tcBorders>
            <w:noWrap/>
            <w:vAlign w:val="bottom"/>
          </w:tcPr>
          <w:p w:rsidR="00D741EE" w:rsidRPr="006D0DA3" w:rsidRDefault="00870B90" w:rsidP="00F64E7B">
            <w:pPr>
              <w:spacing w:after="0" w:line="240" w:lineRule="auto"/>
              <w:jc w:val="right"/>
              <w:rPr>
                <w:rFonts w:asciiTheme="minorHAnsi" w:hAnsiTheme="minorHAnsi" w:cstheme="minorHAnsi"/>
                <w:color w:val="000000"/>
                <w:sz w:val="16"/>
                <w:szCs w:val="16"/>
              </w:rPr>
            </w:pPr>
            <w:r w:rsidRPr="000B6C97">
              <w:rPr>
                <w:sz w:val="16"/>
                <w:szCs w:val="16"/>
              </w:rPr>
              <w:t>(6,412)</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p w:rsidR="00D741EE" w:rsidRPr="006D0DA3" w:rsidRDefault="00D741EE"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CASH FLOW FROM INVESTING ACTIVITIES</w:t>
            </w: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8171D9">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Interest Received</w:t>
            </w:r>
          </w:p>
        </w:tc>
        <w:tc>
          <w:tcPr>
            <w:tcW w:w="1701" w:type="dxa"/>
            <w:tcBorders>
              <w:top w:val="nil"/>
              <w:left w:val="nil"/>
              <w:bottom w:val="nil"/>
              <w:right w:val="nil"/>
            </w:tcBorders>
            <w:shd w:val="clear" w:color="auto" w:fill="auto"/>
            <w:noWrap/>
            <w:vAlign w:val="bottom"/>
          </w:tcPr>
          <w:p w:rsidR="00D741EE" w:rsidRPr="006D0DA3" w:rsidRDefault="00215624" w:rsidP="006C6DBB">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870B90" w:rsidP="00870B90">
            <w:pPr>
              <w:spacing w:after="0" w:line="240" w:lineRule="auto"/>
              <w:jc w:val="right"/>
              <w:rPr>
                <w:rFonts w:asciiTheme="minorHAnsi" w:hAnsiTheme="minorHAnsi" w:cstheme="minorHAnsi"/>
                <w:color w:val="000000"/>
                <w:sz w:val="16"/>
                <w:szCs w:val="16"/>
              </w:rPr>
            </w:pPr>
            <w:r w:rsidRPr="000B6C97">
              <w:rPr>
                <w:sz w:val="16"/>
                <w:szCs w:val="16"/>
              </w:rPr>
              <w:t xml:space="preserve">39  </w:t>
            </w:r>
            <w:r>
              <w:rPr>
                <w:sz w:val="16"/>
                <w:szCs w:val="16"/>
              </w:rPr>
              <w:t xml:space="preserve"> </w:t>
            </w:r>
          </w:p>
        </w:tc>
      </w:tr>
      <w:tr w:rsidR="00870B90" w:rsidRPr="006D0DA3" w:rsidTr="0029016B">
        <w:trPr>
          <w:trHeight w:val="227"/>
        </w:trPr>
        <w:tc>
          <w:tcPr>
            <w:tcW w:w="6379" w:type="dxa"/>
            <w:tcBorders>
              <w:top w:val="nil"/>
              <w:left w:val="nil"/>
              <w:bottom w:val="nil"/>
              <w:right w:val="nil"/>
            </w:tcBorders>
            <w:noWrap/>
            <w:vAlign w:val="bottom"/>
          </w:tcPr>
          <w:p w:rsidR="00870B90" w:rsidRPr="006D0DA3" w:rsidRDefault="00870B90" w:rsidP="00301E54">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 xml:space="preserve">    Cash and cash equivalents of subsidiaries acquired</w:t>
            </w:r>
          </w:p>
        </w:tc>
        <w:tc>
          <w:tcPr>
            <w:tcW w:w="1701" w:type="dxa"/>
            <w:tcBorders>
              <w:top w:val="nil"/>
              <w:left w:val="nil"/>
              <w:bottom w:val="nil"/>
              <w:right w:val="nil"/>
            </w:tcBorders>
            <w:shd w:val="clear" w:color="auto" w:fill="auto"/>
            <w:noWrap/>
            <w:vAlign w:val="bottom"/>
          </w:tcPr>
          <w:p w:rsidR="00870B90" w:rsidRDefault="00870B90" w:rsidP="00AA3B7F">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870B90" w:rsidRPr="006D0DA3" w:rsidRDefault="00870B90"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870B90" w:rsidRPr="006D0DA3" w:rsidRDefault="00870B90" w:rsidP="006957F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430</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8171D9">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Product development costs incurred</w:t>
            </w:r>
          </w:p>
        </w:tc>
        <w:tc>
          <w:tcPr>
            <w:tcW w:w="1701" w:type="dxa"/>
            <w:tcBorders>
              <w:top w:val="nil"/>
              <w:left w:val="nil"/>
              <w:bottom w:val="nil"/>
              <w:right w:val="nil"/>
            </w:tcBorders>
            <w:shd w:val="clear" w:color="auto" w:fill="auto"/>
            <w:noWrap/>
            <w:vAlign w:val="bottom"/>
          </w:tcPr>
          <w:p w:rsidR="00D741EE" w:rsidRPr="006D0DA3" w:rsidRDefault="000D1210" w:rsidP="00AA3B7F">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F064D0" w:rsidP="00870B90">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870B90">
              <w:rPr>
                <w:rFonts w:asciiTheme="minorHAnsi" w:hAnsiTheme="minorHAnsi" w:cstheme="minorHAnsi"/>
                <w:color w:val="000000"/>
                <w:sz w:val="16"/>
                <w:szCs w:val="16"/>
              </w:rPr>
              <w:t>118</w:t>
            </w:r>
            <w:r w:rsidR="00CF7476" w:rsidRPr="006D0DA3">
              <w:rPr>
                <w:rFonts w:asciiTheme="minorHAnsi" w:hAnsiTheme="minorHAnsi" w:cstheme="minorHAnsi"/>
                <w:color w:val="000000"/>
                <w:sz w:val="16"/>
                <w:szCs w:val="16"/>
              </w:rPr>
              <w:t>)</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8171D9">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Purchase of plant and equipment</w:t>
            </w:r>
          </w:p>
        </w:tc>
        <w:tc>
          <w:tcPr>
            <w:tcW w:w="1701" w:type="dxa"/>
            <w:tcBorders>
              <w:top w:val="nil"/>
              <w:left w:val="nil"/>
              <w:bottom w:val="nil"/>
              <w:right w:val="nil"/>
            </w:tcBorders>
            <w:shd w:val="clear" w:color="auto" w:fill="auto"/>
            <w:noWrap/>
            <w:vAlign w:val="bottom"/>
          </w:tcPr>
          <w:p w:rsidR="00D741EE" w:rsidRPr="006D0DA3" w:rsidRDefault="00215624" w:rsidP="0013364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F064D0" w:rsidP="00870B90">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870B90">
              <w:rPr>
                <w:rFonts w:asciiTheme="minorHAnsi" w:hAnsiTheme="minorHAnsi" w:cstheme="minorHAnsi"/>
                <w:color w:val="000000"/>
                <w:sz w:val="16"/>
                <w:szCs w:val="16"/>
              </w:rPr>
              <w:t>622</w:t>
            </w:r>
            <w:r w:rsidR="00CF7476" w:rsidRPr="006D0DA3">
              <w:rPr>
                <w:rFonts w:asciiTheme="minorHAnsi" w:hAnsiTheme="minorHAnsi" w:cstheme="minorHAnsi"/>
                <w:color w:val="000000"/>
                <w:sz w:val="16"/>
                <w:szCs w:val="16"/>
              </w:rPr>
              <w:t>)</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8171D9">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Proceed</w:t>
            </w:r>
            <w:r w:rsidR="000468DF">
              <w:rPr>
                <w:rFonts w:asciiTheme="minorHAnsi" w:hAnsiTheme="minorHAnsi" w:cstheme="minorHAnsi"/>
                <w:color w:val="000000"/>
                <w:sz w:val="16"/>
                <w:szCs w:val="16"/>
              </w:rPr>
              <w:t xml:space="preserve">s </w:t>
            </w:r>
            <w:r w:rsidRPr="006D0DA3">
              <w:rPr>
                <w:rFonts w:asciiTheme="minorHAnsi" w:hAnsiTheme="minorHAnsi" w:cstheme="minorHAnsi"/>
                <w:color w:val="000000"/>
                <w:sz w:val="16"/>
                <w:szCs w:val="16"/>
              </w:rPr>
              <w:t xml:space="preserve"> from disposal of Property, plant and equipment</w:t>
            </w:r>
          </w:p>
        </w:tc>
        <w:tc>
          <w:tcPr>
            <w:tcW w:w="1701" w:type="dxa"/>
            <w:tcBorders>
              <w:top w:val="nil"/>
              <w:left w:val="nil"/>
              <w:bottom w:val="nil"/>
              <w:right w:val="nil"/>
            </w:tcBorders>
            <w:shd w:val="clear" w:color="auto" w:fill="auto"/>
            <w:noWrap/>
            <w:vAlign w:val="bottom"/>
          </w:tcPr>
          <w:p w:rsidR="00D741EE" w:rsidRPr="006D0DA3" w:rsidRDefault="003F7104" w:rsidP="006D28DC">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1,6</w:t>
            </w:r>
            <w:r w:rsidR="006D28DC">
              <w:rPr>
                <w:rFonts w:asciiTheme="minorHAnsi" w:hAnsiTheme="minorHAnsi" w:cstheme="minorHAnsi"/>
                <w:color w:val="000000"/>
                <w:sz w:val="16"/>
                <w:szCs w:val="16"/>
              </w:rPr>
              <w:t>32</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CF7476" w:rsidP="00870B90">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98</w:t>
            </w:r>
            <w:r w:rsidR="00870B90">
              <w:rPr>
                <w:rFonts w:asciiTheme="minorHAnsi" w:hAnsiTheme="minorHAnsi" w:cstheme="minorHAnsi"/>
                <w:color w:val="000000"/>
                <w:sz w:val="16"/>
                <w:szCs w:val="16"/>
              </w:rPr>
              <w:t>8</w:t>
            </w:r>
          </w:p>
        </w:tc>
      </w:tr>
      <w:tr w:rsidR="00EF1676" w:rsidRPr="006D0DA3" w:rsidTr="0029016B">
        <w:trPr>
          <w:trHeight w:val="227"/>
        </w:trPr>
        <w:tc>
          <w:tcPr>
            <w:tcW w:w="6379" w:type="dxa"/>
            <w:tcBorders>
              <w:top w:val="nil"/>
              <w:left w:val="nil"/>
              <w:bottom w:val="nil"/>
              <w:right w:val="nil"/>
            </w:tcBorders>
            <w:noWrap/>
            <w:vAlign w:val="bottom"/>
          </w:tcPr>
          <w:p w:rsidR="00EF1676" w:rsidRPr="006D0DA3" w:rsidRDefault="00EF1676" w:rsidP="008171D9">
            <w:pPr>
              <w:spacing w:after="0" w:line="240" w:lineRule="auto"/>
              <w:rPr>
                <w:rFonts w:asciiTheme="minorHAnsi" w:hAnsiTheme="minorHAnsi" w:cstheme="minorHAnsi"/>
                <w:color w:val="000000"/>
                <w:sz w:val="16"/>
                <w:szCs w:val="16"/>
              </w:rPr>
            </w:pPr>
          </w:p>
        </w:tc>
        <w:tc>
          <w:tcPr>
            <w:tcW w:w="1701" w:type="dxa"/>
            <w:tcBorders>
              <w:top w:val="nil"/>
              <w:left w:val="nil"/>
              <w:bottom w:val="nil"/>
              <w:right w:val="nil"/>
            </w:tcBorders>
            <w:shd w:val="clear" w:color="auto" w:fill="auto"/>
            <w:noWrap/>
            <w:vAlign w:val="bottom"/>
          </w:tcPr>
          <w:p w:rsidR="00EF1676" w:rsidRPr="006D0DA3" w:rsidRDefault="00EF1676" w:rsidP="0013364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EF1676" w:rsidRPr="006D0DA3" w:rsidRDefault="00EF1676"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EF1676" w:rsidRPr="006D0DA3" w:rsidRDefault="00EF1676"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Net cash flow</w:t>
            </w:r>
            <w:r w:rsidR="00BF74EA" w:rsidRPr="006D0DA3">
              <w:rPr>
                <w:rFonts w:asciiTheme="minorHAnsi" w:hAnsiTheme="minorHAnsi" w:cstheme="minorHAnsi"/>
                <w:color w:val="000000"/>
                <w:sz w:val="16"/>
                <w:szCs w:val="16"/>
              </w:rPr>
              <w:t>s</w:t>
            </w:r>
            <w:r w:rsidRPr="006D0DA3">
              <w:rPr>
                <w:rFonts w:asciiTheme="minorHAnsi" w:hAnsiTheme="minorHAnsi" w:cstheme="minorHAnsi"/>
                <w:color w:val="000000"/>
                <w:sz w:val="16"/>
                <w:szCs w:val="16"/>
              </w:rPr>
              <w:t xml:space="preserve"> from investing activities</w:t>
            </w:r>
          </w:p>
        </w:tc>
        <w:tc>
          <w:tcPr>
            <w:tcW w:w="1701" w:type="dxa"/>
            <w:tcBorders>
              <w:top w:val="single" w:sz="4" w:space="0" w:color="auto"/>
              <w:left w:val="nil"/>
              <w:bottom w:val="single" w:sz="4" w:space="0" w:color="auto"/>
              <w:right w:val="nil"/>
            </w:tcBorders>
            <w:shd w:val="clear" w:color="auto" w:fill="auto"/>
            <w:noWrap/>
            <w:vAlign w:val="bottom"/>
          </w:tcPr>
          <w:p w:rsidR="00D741EE" w:rsidRPr="006D0DA3" w:rsidRDefault="005B4803" w:rsidP="00480754">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1</w:t>
            </w:r>
            <w:r w:rsidR="004822D9">
              <w:rPr>
                <w:rFonts w:asciiTheme="minorHAnsi" w:hAnsiTheme="minorHAnsi" w:cstheme="minorHAnsi"/>
                <w:color w:val="000000"/>
                <w:sz w:val="16"/>
                <w:szCs w:val="16"/>
              </w:rPr>
              <w:t>,6</w:t>
            </w:r>
            <w:r w:rsidR="00480754">
              <w:rPr>
                <w:rFonts w:asciiTheme="minorHAnsi" w:hAnsiTheme="minorHAnsi" w:cstheme="minorHAnsi"/>
                <w:color w:val="000000"/>
                <w:sz w:val="16"/>
                <w:szCs w:val="16"/>
              </w:rPr>
              <w:t>32</w:t>
            </w:r>
          </w:p>
        </w:tc>
        <w:tc>
          <w:tcPr>
            <w:tcW w:w="425" w:type="dxa"/>
            <w:tcBorders>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single" w:sz="4" w:space="0" w:color="auto"/>
              <w:left w:val="nil"/>
              <w:bottom w:val="single" w:sz="4" w:space="0" w:color="auto"/>
              <w:right w:val="nil"/>
            </w:tcBorders>
            <w:noWrap/>
            <w:vAlign w:val="bottom"/>
          </w:tcPr>
          <w:p w:rsidR="00D741EE" w:rsidRPr="006D0DA3" w:rsidRDefault="00870B90" w:rsidP="00F64E7B">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717</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CASH FLOW FROM FINANCING ACTIVITIES</w:t>
            </w: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b/>
                <w:color w:val="000000"/>
                <w:sz w:val="16"/>
                <w:szCs w:val="16"/>
              </w:rPr>
            </w:pP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1718D0" w:rsidRPr="006D0DA3" w:rsidTr="0029016B">
        <w:trPr>
          <w:trHeight w:val="227"/>
        </w:trPr>
        <w:tc>
          <w:tcPr>
            <w:tcW w:w="6379" w:type="dxa"/>
            <w:tcBorders>
              <w:top w:val="nil"/>
              <w:left w:val="nil"/>
              <w:bottom w:val="nil"/>
              <w:right w:val="nil"/>
            </w:tcBorders>
            <w:noWrap/>
            <w:vAlign w:val="bottom"/>
          </w:tcPr>
          <w:p w:rsidR="001718D0" w:rsidRPr="006D0DA3" w:rsidRDefault="001718D0" w:rsidP="00A95B96">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Net proceeds from issuance of shares</w:t>
            </w:r>
          </w:p>
        </w:tc>
        <w:tc>
          <w:tcPr>
            <w:tcW w:w="1701" w:type="dxa"/>
            <w:tcBorders>
              <w:top w:val="nil"/>
              <w:left w:val="nil"/>
              <w:bottom w:val="nil"/>
              <w:right w:val="nil"/>
            </w:tcBorders>
            <w:shd w:val="clear" w:color="auto" w:fill="auto"/>
            <w:noWrap/>
            <w:vAlign w:val="bottom"/>
          </w:tcPr>
          <w:p w:rsidR="001718D0" w:rsidRPr="006D0DA3" w:rsidRDefault="00FF4DD4" w:rsidP="00FF4DD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7,8</w:t>
            </w:r>
            <w:r w:rsidR="001E06BF">
              <w:rPr>
                <w:rFonts w:asciiTheme="minorHAnsi" w:hAnsiTheme="minorHAnsi" w:cstheme="minorHAnsi"/>
                <w:color w:val="000000"/>
                <w:sz w:val="16"/>
                <w:szCs w:val="16"/>
              </w:rPr>
              <w:t>90</w:t>
            </w:r>
          </w:p>
        </w:tc>
        <w:tc>
          <w:tcPr>
            <w:tcW w:w="425" w:type="dxa"/>
            <w:tcBorders>
              <w:top w:val="nil"/>
              <w:left w:val="nil"/>
              <w:bottom w:val="nil"/>
              <w:right w:val="nil"/>
            </w:tcBorders>
          </w:tcPr>
          <w:p w:rsidR="001718D0" w:rsidRPr="006D0DA3" w:rsidRDefault="001718D0"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1718D0" w:rsidRPr="006D0DA3" w:rsidRDefault="00CF7476"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4,361</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3F4723" w:rsidP="00223B18">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 xml:space="preserve">    Minority interest</w:t>
            </w:r>
          </w:p>
        </w:tc>
        <w:tc>
          <w:tcPr>
            <w:tcW w:w="1701" w:type="dxa"/>
            <w:tcBorders>
              <w:top w:val="nil"/>
              <w:left w:val="nil"/>
              <w:bottom w:val="nil"/>
              <w:right w:val="nil"/>
            </w:tcBorders>
            <w:shd w:val="clear" w:color="auto" w:fill="auto"/>
            <w:noWrap/>
            <w:vAlign w:val="bottom"/>
          </w:tcPr>
          <w:p w:rsidR="00D741EE" w:rsidRPr="006D0DA3" w:rsidRDefault="003F4723" w:rsidP="00223B18">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120</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3F4723" w:rsidP="00223B18">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Net cash flow</w:t>
            </w:r>
            <w:r w:rsidR="00BF74EA" w:rsidRPr="006D0DA3">
              <w:rPr>
                <w:rFonts w:asciiTheme="minorHAnsi" w:hAnsiTheme="minorHAnsi" w:cstheme="minorHAnsi"/>
                <w:color w:val="000000"/>
                <w:sz w:val="16"/>
                <w:szCs w:val="16"/>
              </w:rPr>
              <w:t>s</w:t>
            </w:r>
            <w:r w:rsidRPr="006D0DA3">
              <w:rPr>
                <w:rFonts w:asciiTheme="minorHAnsi" w:hAnsiTheme="minorHAnsi" w:cstheme="minorHAnsi"/>
                <w:color w:val="000000"/>
                <w:sz w:val="16"/>
                <w:szCs w:val="16"/>
              </w:rPr>
              <w:t xml:space="preserve"> from financing activities</w:t>
            </w:r>
          </w:p>
        </w:tc>
        <w:tc>
          <w:tcPr>
            <w:tcW w:w="1701" w:type="dxa"/>
            <w:tcBorders>
              <w:top w:val="single" w:sz="4" w:space="0" w:color="auto"/>
              <w:left w:val="nil"/>
              <w:bottom w:val="single" w:sz="4" w:space="0" w:color="auto"/>
              <w:right w:val="nil"/>
            </w:tcBorders>
            <w:shd w:val="clear" w:color="auto" w:fill="auto"/>
            <w:noWrap/>
            <w:vAlign w:val="bottom"/>
          </w:tcPr>
          <w:p w:rsidR="00D741EE" w:rsidRPr="006D0DA3" w:rsidRDefault="00A95B96" w:rsidP="00A95B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8,110</w:t>
            </w:r>
          </w:p>
        </w:tc>
        <w:tc>
          <w:tcPr>
            <w:tcW w:w="425" w:type="dxa"/>
            <w:tcBorders>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single" w:sz="4" w:space="0" w:color="auto"/>
              <w:left w:val="nil"/>
              <w:bottom w:val="single" w:sz="4" w:space="0" w:color="auto"/>
              <w:right w:val="nil"/>
            </w:tcBorders>
            <w:noWrap/>
            <w:vAlign w:val="bottom"/>
          </w:tcPr>
          <w:p w:rsidR="00D741EE" w:rsidRPr="006D0DA3" w:rsidRDefault="00CF7476" w:rsidP="00D741EE">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4,361</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tcBorders>
              <w:top w:val="single" w:sz="4" w:space="0" w:color="auto"/>
              <w:left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single" w:sz="4" w:space="0" w:color="auto"/>
              <w:left w:val="nil"/>
              <w:right w:val="nil"/>
            </w:tcBorders>
            <w:noWrap/>
            <w:vAlign w:val="bottom"/>
          </w:tcPr>
          <w:p w:rsidR="00D741EE" w:rsidRPr="006D0DA3" w:rsidRDefault="00D741EE" w:rsidP="00D741EE">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8171D9">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N</w:t>
            </w:r>
            <w:r w:rsidR="008171D9" w:rsidRPr="006D0DA3">
              <w:rPr>
                <w:rFonts w:asciiTheme="minorHAnsi" w:hAnsiTheme="minorHAnsi" w:cstheme="minorHAnsi"/>
                <w:b/>
                <w:color w:val="000000"/>
                <w:sz w:val="16"/>
                <w:szCs w:val="16"/>
              </w:rPr>
              <w:t>ET</w:t>
            </w:r>
            <w:r w:rsidRPr="006D0DA3">
              <w:rPr>
                <w:rFonts w:asciiTheme="minorHAnsi" w:hAnsiTheme="minorHAnsi" w:cstheme="minorHAnsi"/>
                <w:b/>
                <w:color w:val="000000"/>
                <w:sz w:val="16"/>
                <w:szCs w:val="16"/>
              </w:rPr>
              <w:t xml:space="preserve"> C</w:t>
            </w:r>
            <w:r w:rsidR="008171D9" w:rsidRPr="006D0DA3">
              <w:rPr>
                <w:rFonts w:asciiTheme="minorHAnsi" w:hAnsiTheme="minorHAnsi" w:cstheme="minorHAnsi"/>
                <w:b/>
                <w:color w:val="000000"/>
                <w:sz w:val="16"/>
                <w:szCs w:val="16"/>
              </w:rPr>
              <w:t>HANGES</w:t>
            </w:r>
            <w:r w:rsidR="004822D9">
              <w:rPr>
                <w:rFonts w:asciiTheme="minorHAnsi" w:hAnsiTheme="minorHAnsi" w:cstheme="minorHAnsi"/>
                <w:b/>
                <w:color w:val="000000"/>
                <w:sz w:val="16"/>
                <w:szCs w:val="16"/>
              </w:rPr>
              <w:t xml:space="preserve"> </w:t>
            </w:r>
            <w:r w:rsidR="008171D9" w:rsidRPr="006D0DA3">
              <w:rPr>
                <w:rFonts w:asciiTheme="minorHAnsi" w:hAnsiTheme="minorHAnsi" w:cstheme="minorHAnsi"/>
                <w:b/>
                <w:color w:val="000000"/>
                <w:sz w:val="16"/>
                <w:szCs w:val="16"/>
              </w:rPr>
              <w:t>IN</w:t>
            </w:r>
            <w:r w:rsidR="004822D9">
              <w:rPr>
                <w:rFonts w:asciiTheme="minorHAnsi" w:hAnsiTheme="minorHAnsi" w:cstheme="minorHAnsi"/>
                <w:b/>
                <w:color w:val="000000"/>
                <w:sz w:val="16"/>
                <w:szCs w:val="16"/>
              </w:rPr>
              <w:t xml:space="preserve"> </w:t>
            </w:r>
            <w:r w:rsidR="008171D9" w:rsidRPr="006D0DA3">
              <w:rPr>
                <w:rFonts w:asciiTheme="minorHAnsi" w:hAnsiTheme="minorHAnsi" w:cstheme="minorHAnsi"/>
                <w:b/>
                <w:color w:val="000000"/>
                <w:sz w:val="16"/>
                <w:szCs w:val="16"/>
              </w:rPr>
              <w:t>CASH AND CASH</w:t>
            </w:r>
            <w:r w:rsidRPr="006D0DA3">
              <w:rPr>
                <w:rFonts w:asciiTheme="minorHAnsi" w:hAnsiTheme="minorHAnsi" w:cstheme="minorHAnsi"/>
                <w:b/>
                <w:color w:val="000000"/>
                <w:sz w:val="16"/>
                <w:szCs w:val="16"/>
              </w:rPr>
              <w:t xml:space="preserve"> E</w:t>
            </w:r>
            <w:r w:rsidR="008171D9" w:rsidRPr="006D0DA3">
              <w:rPr>
                <w:rFonts w:asciiTheme="minorHAnsi" w:hAnsiTheme="minorHAnsi" w:cstheme="minorHAnsi"/>
                <w:b/>
                <w:color w:val="000000"/>
                <w:sz w:val="16"/>
                <w:szCs w:val="16"/>
              </w:rPr>
              <w:t>QUIVALENTS</w:t>
            </w:r>
          </w:p>
        </w:tc>
        <w:tc>
          <w:tcPr>
            <w:tcW w:w="1701" w:type="dxa"/>
            <w:tcBorders>
              <w:top w:val="nil"/>
              <w:left w:val="nil"/>
              <w:bottom w:val="nil"/>
              <w:right w:val="nil"/>
            </w:tcBorders>
            <w:shd w:val="clear" w:color="auto" w:fill="auto"/>
            <w:noWrap/>
            <w:vAlign w:val="bottom"/>
          </w:tcPr>
          <w:p w:rsidR="00D741EE" w:rsidRPr="006D0DA3" w:rsidRDefault="00FF4DD4" w:rsidP="00A95B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w:t>
            </w:r>
            <w:r w:rsidR="00A95B96">
              <w:rPr>
                <w:rFonts w:asciiTheme="minorHAnsi" w:hAnsiTheme="minorHAnsi" w:cstheme="minorHAnsi"/>
                <w:color w:val="000000"/>
                <w:sz w:val="16"/>
                <w:szCs w:val="16"/>
              </w:rPr>
              <w:t>166</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870B90" w:rsidP="00870B90">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(1,334)</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Effects of Foreign Exchange Translation</w:t>
            </w:r>
          </w:p>
        </w:tc>
        <w:tc>
          <w:tcPr>
            <w:tcW w:w="1701" w:type="dxa"/>
            <w:tcBorders>
              <w:top w:val="nil"/>
              <w:left w:val="nil"/>
              <w:bottom w:val="nil"/>
              <w:right w:val="nil"/>
            </w:tcBorders>
            <w:shd w:val="clear" w:color="auto" w:fill="auto"/>
            <w:noWrap/>
            <w:vAlign w:val="bottom"/>
          </w:tcPr>
          <w:p w:rsidR="00D741EE" w:rsidRPr="006D0DA3" w:rsidRDefault="00CE7987" w:rsidP="00CE798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223</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870B90" w:rsidP="006A3325">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(228</w:t>
            </w:r>
            <w:r w:rsidR="00F064D0" w:rsidRPr="006D0DA3">
              <w:rPr>
                <w:rFonts w:asciiTheme="minorHAnsi" w:hAnsiTheme="minorHAnsi" w:cstheme="minorHAnsi"/>
                <w:color w:val="000000"/>
                <w:sz w:val="16"/>
                <w:szCs w:val="16"/>
              </w:rPr>
              <w:t>)</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8171D9" w:rsidP="008171D9">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CASH AND CASH EQUIVALENTS AT BEGINNING OF THE PERIOD</w:t>
            </w:r>
          </w:p>
        </w:tc>
        <w:tc>
          <w:tcPr>
            <w:tcW w:w="1701" w:type="dxa"/>
            <w:tcBorders>
              <w:top w:val="nil"/>
              <w:left w:val="nil"/>
              <w:bottom w:val="nil"/>
              <w:right w:val="nil"/>
            </w:tcBorders>
            <w:shd w:val="clear" w:color="auto" w:fill="auto"/>
            <w:noWrap/>
            <w:vAlign w:val="bottom"/>
          </w:tcPr>
          <w:p w:rsidR="00D741EE" w:rsidRPr="006D0DA3" w:rsidRDefault="00215624" w:rsidP="00861A9F">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1,386</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870B90" w:rsidP="006A3325">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2,948</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b/>
                <w:color w:val="000000"/>
                <w:sz w:val="16"/>
                <w:szCs w:val="16"/>
              </w:rPr>
            </w:pP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8171D9" w:rsidP="008171D9">
            <w:pPr>
              <w:spacing w:after="0" w:line="240" w:lineRule="auto"/>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CASH AND CASH EQUIVALENTS AT END OF THE PERIOD</w:t>
            </w:r>
          </w:p>
        </w:tc>
        <w:tc>
          <w:tcPr>
            <w:tcW w:w="1701" w:type="dxa"/>
            <w:tcBorders>
              <w:top w:val="single" w:sz="4" w:space="0" w:color="auto"/>
              <w:left w:val="nil"/>
              <w:bottom w:val="double" w:sz="6" w:space="0" w:color="auto"/>
              <w:right w:val="nil"/>
            </w:tcBorders>
            <w:shd w:val="clear" w:color="auto" w:fill="auto"/>
            <w:noWrap/>
            <w:vAlign w:val="bottom"/>
          </w:tcPr>
          <w:p w:rsidR="00D741EE" w:rsidRPr="006D0DA3" w:rsidRDefault="00A95B96" w:rsidP="00A95B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3,875</w:t>
            </w:r>
          </w:p>
        </w:tc>
        <w:tc>
          <w:tcPr>
            <w:tcW w:w="425" w:type="dxa"/>
            <w:tcBorders>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single" w:sz="4" w:space="0" w:color="auto"/>
              <w:left w:val="nil"/>
              <w:bottom w:val="double" w:sz="6" w:space="0" w:color="auto"/>
              <w:right w:val="nil"/>
            </w:tcBorders>
            <w:noWrap/>
            <w:vAlign w:val="bottom"/>
          </w:tcPr>
          <w:p w:rsidR="00D741EE" w:rsidRPr="006D0DA3" w:rsidRDefault="00555424" w:rsidP="0055542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1,386</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center"/>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center"/>
              <w:rPr>
                <w:rFonts w:asciiTheme="minorHAnsi" w:hAnsiTheme="minorHAnsi" w:cstheme="minorHAnsi"/>
                <w:color w:val="000000"/>
                <w:sz w:val="16"/>
                <w:szCs w:val="16"/>
              </w:rPr>
            </w:pPr>
          </w:p>
        </w:tc>
      </w:tr>
      <w:tr w:rsidR="00D741EE" w:rsidRPr="006D0DA3" w:rsidTr="0029016B">
        <w:trPr>
          <w:trHeight w:val="227"/>
        </w:trPr>
        <w:tc>
          <w:tcPr>
            <w:tcW w:w="8080" w:type="dxa"/>
            <w:gridSpan w:val="2"/>
            <w:tcBorders>
              <w:top w:val="nil"/>
              <w:left w:val="nil"/>
              <w:bottom w:val="nil"/>
              <w:right w:val="nil"/>
            </w:tcBorders>
            <w:shd w:val="clear" w:color="auto" w:fill="auto"/>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p w:rsidR="00D741EE" w:rsidRPr="006D0DA3" w:rsidRDefault="00D741EE"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Cash and cash equivalents at end of the financial period comprise the following:</w:t>
            </w:r>
          </w:p>
        </w:tc>
        <w:tc>
          <w:tcPr>
            <w:tcW w:w="425" w:type="dxa"/>
            <w:tcBorders>
              <w:top w:val="nil"/>
              <w:left w:val="nil"/>
              <w:bottom w:val="nil"/>
              <w:right w:val="nil"/>
            </w:tcBorders>
          </w:tcPr>
          <w:p w:rsidR="00D741EE" w:rsidRPr="006D0DA3" w:rsidRDefault="00D741EE" w:rsidP="00223B18">
            <w:pPr>
              <w:spacing w:after="0" w:line="240" w:lineRule="auto"/>
              <w:jc w:val="center"/>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center"/>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p>
        </w:tc>
        <w:tc>
          <w:tcPr>
            <w:tcW w:w="1701" w:type="dxa"/>
            <w:tcBorders>
              <w:top w:val="nil"/>
              <w:left w:val="nil"/>
              <w:bottom w:val="nil"/>
              <w:right w:val="nil"/>
            </w:tcBorders>
            <w:shd w:val="clear" w:color="auto" w:fill="auto"/>
            <w:noWrap/>
            <w:vAlign w:val="bottom"/>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425" w:type="dxa"/>
            <w:tcBorders>
              <w:top w:val="nil"/>
              <w:left w:val="nil"/>
              <w:bottom w:val="nil"/>
              <w:right w:val="nil"/>
            </w:tcBorders>
          </w:tcPr>
          <w:p w:rsidR="00D741EE" w:rsidRPr="006D0DA3" w:rsidRDefault="00D741EE" w:rsidP="00223B18">
            <w:pPr>
              <w:spacing w:after="0" w:line="240" w:lineRule="auto"/>
              <w:jc w:val="center"/>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D741EE" w:rsidP="00223B18">
            <w:pPr>
              <w:spacing w:after="0" w:line="240" w:lineRule="auto"/>
              <w:jc w:val="center"/>
              <w:rPr>
                <w:rFonts w:asciiTheme="minorHAnsi" w:hAnsiTheme="minorHAnsi" w:cstheme="minorHAnsi"/>
                <w:color w:val="000000"/>
                <w:sz w:val="16"/>
                <w:szCs w:val="16"/>
              </w:rPr>
            </w:pP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Cash and bank balances</w:t>
            </w:r>
          </w:p>
        </w:tc>
        <w:tc>
          <w:tcPr>
            <w:tcW w:w="1701" w:type="dxa"/>
            <w:tcBorders>
              <w:top w:val="nil"/>
              <w:left w:val="nil"/>
              <w:bottom w:val="nil"/>
              <w:right w:val="nil"/>
            </w:tcBorders>
            <w:shd w:val="clear" w:color="auto" w:fill="auto"/>
            <w:noWrap/>
            <w:vAlign w:val="bottom"/>
          </w:tcPr>
          <w:p w:rsidR="00D741EE" w:rsidRPr="006D0DA3" w:rsidRDefault="00A95B96" w:rsidP="00A95B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3,875</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F064D0" w:rsidP="00555424">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1,3</w:t>
            </w:r>
            <w:r w:rsidR="00555424">
              <w:rPr>
                <w:rFonts w:asciiTheme="minorHAnsi" w:hAnsiTheme="minorHAnsi" w:cstheme="minorHAnsi"/>
                <w:color w:val="000000"/>
                <w:sz w:val="16"/>
                <w:szCs w:val="16"/>
              </w:rPr>
              <w:t>86</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Fixed deposits placed with licensed banks</w:t>
            </w:r>
          </w:p>
        </w:tc>
        <w:tc>
          <w:tcPr>
            <w:tcW w:w="1701" w:type="dxa"/>
            <w:tcBorders>
              <w:top w:val="nil"/>
              <w:left w:val="nil"/>
              <w:bottom w:val="nil"/>
              <w:right w:val="nil"/>
            </w:tcBorders>
            <w:shd w:val="clear" w:color="auto" w:fill="auto"/>
            <w:noWrap/>
            <w:vAlign w:val="bottom"/>
          </w:tcPr>
          <w:p w:rsidR="00D741EE" w:rsidRPr="006D0DA3" w:rsidRDefault="00D13438" w:rsidP="00861A9F">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425" w:type="dxa"/>
            <w:tcBorders>
              <w:top w:val="nil"/>
              <w:left w:val="nil"/>
              <w:bottom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nil"/>
              <w:left w:val="nil"/>
              <w:bottom w:val="nil"/>
              <w:right w:val="nil"/>
            </w:tcBorders>
            <w:noWrap/>
            <w:vAlign w:val="bottom"/>
          </w:tcPr>
          <w:p w:rsidR="00D741EE" w:rsidRPr="006D0DA3" w:rsidRDefault="00555424" w:rsidP="006957F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D741EE" w:rsidRPr="006D0DA3" w:rsidTr="0029016B">
        <w:trPr>
          <w:trHeight w:val="227"/>
        </w:trPr>
        <w:tc>
          <w:tcPr>
            <w:tcW w:w="6379" w:type="dxa"/>
            <w:tcBorders>
              <w:top w:val="nil"/>
              <w:left w:val="nil"/>
              <w:bottom w:val="nil"/>
              <w:right w:val="nil"/>
            </w:tcBorders>
            <w:noWrap/>
            <w:vAlign w:val="bottom"/>
          </w:tcPr>
          <w:p w:rsidR="00D741EE" w:rsidRPr="006D0DA3" w:rsidRDefault="00D741EE" w:rsidP="00223B18">
            <w:pPr>
              <w:spacing w:after="0" w:line="240" w:lineRule="auto"/>
              <w:rPr>
                <w:rFonts w:asciiTheme="minorHAnsi" w:hAnsiTheme="minorHAnsi" w:cstheme="minorHAnsi"/>
                <w:b/>
                <w:color w:val="000000"/>
                <w:sz w:val="16"/>
                <w:szCs w:val="16"/>
              </w:rPr>
            </w:pPr>
          </w:p>
        </w:tc>
        <w:tc>
          <w:tcPr>
            <w:tcW w:w="1701" w:type="dxa"/>
            <w:tcBorders>
              <w:top w:val="single" w:sz="4" w:space="0" w:color="auto"/>
              <w:left w:val="nil"/>
              <w:bottom w:val="double" w:sz="6" w:space="0" w:color="auto"/>
              <w:right w:val="nil"/>
            </w:tcBorders>
            <w:shd w:val="clear" w:color="auto" w:fill="auto"/>
            <w:noWrap/>
            <w:vAlign w:val="bottom"/>
          </w:tcPr>
          <w:p w:rsidR="00D741EE" w:rsidRPr="006D0DA3" w:rsidRDefault="00A95B96" w:rsidP="00A95B9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3,875</w:t>
            </w:r>
          </w:p>
        </w:tc>
        <w:tc>
          <w:tcPr>
            <w:tcW w:w="425" w:type="dxa"/>
            <w:tcBorders>
              <w:left w:val="nil"/>
              <w:right w:val="nil"/>
            </w:tcBorders>
          </w:tcPr>
          <w:p w:rsidR="00D741EE" w:rsidRPr="006D0DA3" w:rsidRDefault="00D741EE" w:rsidP="00223B18">
            <w:pPr>
              <w:spacing w:after="0" w:line="240" w:lineRule="auto"/>
              <w:jc w:val="right"/>
              <w:rPr>
                <w:rFonts w:asciiTheme="minorHAnsi" w:hAnsiTheme="minorHAnsi" w:cstheme="minorHAnsi"/>
                <w:color w:val="000000"/>
                <w:sz w:val="16"/>
                <w:szCs w:val="16"/>
              </w:rPr>
            </w:pPr>
          </w:p>
        </w:tc>
        <w:tc>
          <w:tcPr>
            <w:tcW w:w="1701" w:type="dxa"/>
            <w:tcBorders>
              <w:top w:val="single" w:sz="4" w:space="0" w:color="auto"/>
              <w:left w:val="nil"/>
              <w:bottom w:val="double" w:sz="6" w:space="0" w:color="auto"/>
              <w:right w:val="nil"/>
            </w:tcBorders>
            <w:noWrap/>
            <w:vAlign w:val="bottom"/>
          </w:tcPr>
          <w:p w:rsidR="00D741EE" w:rsidRPr="006D0DA3" w:rsidRDefault="00555424" w:rsidP="00555424">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1,386</w:t>
            </w:r>
          </w:p>
        </w:tc>
      </w:tr>
    </w:tbl>
    <w:p w:rsidR="00ED5BD8" w:rsidRPr="006D0DA3" w:rsidRDefault="00ED5BD8" w:rsidP="00223B18">
      <w:pPr>
        <w:autoSpaceDE w:val="0"/>
        <w:autoSpaceDN w:val="0"/>
        <w:adjustRightInd w:val="0"/>
        <w:spacing w:after="0" w:line="240" w:lineRule="auto"/>
        <w:rPr>
          <w:rFonts w:asciiTheme="minorHAnsi" w:hAnsiTheme="minorHAnsi" w:cstheme="minorHAnsi"/>
          <w:b/>
          <w:bCs/>
          <w:sz w:val="16"/>
          <w:szCs w:val="16"/>
        </w:rPr>
      </w:pPr>
    </w:p>
    <w:p w:rsidR="00223B18" w:rsidRPr="006D0DA3" w:rsidRDefault="008171D9" w:rsidP="00223B18">
      <w:pPr>
        <w:autoSpaceDE w:val="0"/>
        <w:autoSpaceDN w:val="0"/>
        <w:adjustRightInd w:val="0"/>
        <w:spacing w:after="0" w:line="240" w:lineRule="auto"/>
        <w:rPr>
          <w:rFonts w:asciiTheme="minorHAnsi" w:hAnsiTheme="minorHAnsi" w:cstheme="minorHAnsi"/>
          <w:sz w:val="14"/>
          <w:szCs w:val="14"/>
        </w:rPr>
      </w:pPr>
      <w:r w:rsidRPr="006D0DA3">
        <w:rPr>
          <w:rFonts w:asciiTheme="minorHAnsi" w:hAnsiTheme="minorHAnsi" w:cstheme="minorHAnsi"/>
          <w:sz w:val="14"/>
          <w:szCs w:val="14"/>
        </w:rPr>
        <w:t>Note</w:t>
      </w:r>
      <w:r w:rsidR="00223B18" w:rsidRPr="006D0DA3">
        <w:rPr>
          <w:rFonts w:asciiTheme="minorHAnsi" w:hAnsiTheme="minorHAnsi" w:cstheme="minorHAnsi"/>
          <w:sz w:val="14"/>
          <w:szCs w:val="14"/>
        </w:rPr>
        <w:t>:</w:t>
      </w:r>
    </w:p>
    <w:p w:rsidR="000B6C97" w:rsidRPr="000761CA" w:rsidRDefault="00223B18" w:rsidP="000761CA">
      <w:pPr>
        <w:autoSpaceDE w:val="0"/>
        <w:autoSpaceDN w:val="0"/>
        <w:adjustRightInd w:val="0"/>
        <w:ind w:left="360"/>
        <w:rPr>
          <w:rFonts w:ascii="Century" w:hAnsi="Century" w:cs="Arial"/>
          <w:b/>
          <w:bCs/>
          <w:sz w:val="16"/>
          <w:szCs w:val="16"/>
        </w:rPr>
        <w:sectPr w:rsidR="000B6C97" w:rsidRPr="000761CA" w:rsidSect="00B13DE2">
          <w:headerReference w:type="default" r:id="rId9"/>
          <w:footerReference w:type="default" r:id="rId10"/>
          <w:pgSz w:w="11906" w:h="16838"/>
          <w:pgMar w:top="1440" w:right="851" w:bottom="1440" w:left="851" w:header="851" w:footer="0" w:gutter="0"/>
          <w:cols w:space="708"/>
          <w:docGrid w:linePitch="360"/>
        </w:sectPr>
      </w:pPr>
      <w:r w:rsidRPr="000761CA">
        <w:rPr>
          <w:rFonts w:asciiTheme="minorHAnsi" w:hAnsiTheme="minorHAnsi" w:cstheme="minorHAnsi"/>
          <w:sz w:val="14"/>
          <w:szCs w:val="14"/>
        </w:rPr>
        <w:t>The Unaudited Condensed Consolidated Statements of Cash Flow should be read in conjunction with the audited financial st</w:t>
      </w:r>
      <w:r w:rsidR="003F799C" w:rsidRPr="000761CA">
        <w:rPr>
          <w:rFonts w:asciiTheme="minorHAnsi" w:hAnsiTheme="minorHAnsi" w:cstheme="minorHAnsi"/>
          <w:sz w:val="14"/>
          <w:szCs w:val="14"/>
        </w:rPr>
        <w:t>atements of the Group for the FPE 31 March</w:t>
      </w:r>
      <w:r w:rsidRPr="000761CA">
        <w:rPr>
          <w:rFonts w:asciiTheme="minorHAnsi" w:hAnsiTheme="minorHAnsi" w:cstheme="minorHAnsi"/>
          <w:sz w:val="14"/>
          <w:szCs w:val="14"/>
        </w:rPr>
        <w:t xml:space="preserve"> 201</w:t>
      </w:r>
      <w:r w:rsidR="003F799C" w:rsidRPr="000761CA">
        <w:rPr>
          <w:rFonts w:asciiTheme="minorHAnsi" w:hAnsiTheme="minorHAnsi" w:cstheme="minorHAnsi"/>
          <w:sz w:val="14"/>
          <w:szCs w:val="14"/>
        </w:rPr>
        <w:t>5</w:t>
      </w:r>
      <w:r w:rsidRPr="000761CA">
        <w:rPr>
          <w:rFonts w:asciiTheme="minorHAnsi" w:hAnsiTheme="minorHAnsi" w:cstheme="minorHAnsi"/>
          <w:sz w:val="14"/>
          <w:szCs w:val="14"/>
        </w:rPr>
        <w:t xml:space="preserve"> and the accompanying notes attached to this interim financial report.</w:t>
      </w:r>
      <w:r w:rsidR="000761CA">
        <w:rPr>
          <w:rFonts w:asciiTheme="minorHAnsi" w:hAnsiTheme="minorHAnsi" w:cstheme="minorHAnsi"/>
          <w:sz w:val="14"/>
          <w:szCs w:val="14"/>
        </w:rPr>
        <w:t xml:space="preserve">  </w:t>
      </w:r>
    </w:p>
    <w:p w:rsidR="00595EE7" w:rsidRPr="008374DE" w:rsidRDefault="00595EE7" w:rsidP="00223B18">
      <w:pPr>
        <w:autoSpaceDE w:val="0"/>
        <w:autoSpaceDN w:val="0"/>
        <w:adjustRightInd w:val="0"/>
        <w:spacing w:after="0" w:line="240" w:lineRule="auto"/>
        <w:rPr>
          <w:rFonts w:ascii="Century" w:hAnsi="Century" w:cs="Arial"/>
          <w:b/>
          <w:bCs/>
          <w:sz w:val="16"/>
          <w:szCs w:val="16"/>
        </w:rPr>
      </w:pPr>
    </w:p>
    <w:p w:rsidR="00223B18" w:rsidRPr="006D0DA3" w:rsidRDefault="006E4F06" w:rsidP="00223B18">
      <w:pPr>
        <w:autoSpaceDE w:val="0"/>
        <w:autoSpaceDN w:val="0"/>
        <w:adjustRightInd w:val="0"/>
        <w:spacing w:after="0" w:line="240" w:lineRule="auto"/>
        <w:rPr>
          <w:rFonts w:asciiTheme="minorHAnsi" w:hAnsiTheme="minorHAnsi" w:cstheme="minorHAnsi"/>
          <w:b/>
          <w:bCs/>
          <w:sz w:val="16"/>
          <w:szCs w:val="16"/>
        </w:rPr>
      </w:pPr>
      <w:r w:rsidRPr="006D0DA3">
        <w:rPr>
          <w:rFonts w:asciiTheme="minorHAnsi" w:hAnsiTheme="minorHAnsi" w:cstheme="minorHAnsi"/>
          <w:b/>
          <w:bCs/>
          <w:sz w:val="16"/>
          <w:szCs w:val="16"/>
        </w:rPr>
        <w:t>U</w:t>
      </w:r>
      <w:r w:rsidR="00223B18" w:rsidRPr="006D0DA3">
        <w:rPr>
          <w:rFonts w:asciiTheme="minorHAnsi" w:hAnsiTheme="minorHAnsi" w:cstheme="minorHAnsi"/>
          <w:b/>
          <w:bCs/>
          <w:sz w:val="16"/>
          <w:szCs w:val="16"/>
        </w:rPr>
        <w:t>NAUDITED CONDENSED CONSOLIDATED STATEMENT OF CHANGES IN EQUITY</w:t>
      </w:r>
    </w:p>
    <w:p w:rsidR="00223B18" w:rsidRPr="006D0DA3" w:rsidRDefault="00FB446B" w:rsidP="00223B18">
      <w:pPr>
        <w:autoSpaceDE w:val="0"/>
        <w:autoSpaceDN w:val="0"/>
        <w:adjustRightInd w:val="0"/>
        <w:spacing w:after="0" w:line="240" w:lineRule="auto"/>
        <w:rPr>
          <w:rFonts w:asciiTheme="minorHAnsi" w:hAnsiTheme="minorHAnsi" w:cstheme="minorHAnsi"/>
          <w:b/>
          <w:bCs/>
          <w:sz w:val="16"/>
          <w:szCs w:val="16"/>
        </w:rPr>
      </w:pPr>
      <w:r w:rsidRPr="006D0DA3">
        <w:rPr>
          <w:rFonts w:asciiTheme="minorHAnsi" w:hAnsiTheme="minorHAnsi" w:cstheme="minorHAnsi"/>
          <w:b/>
          <w:bCs/>
          <w:sz w:val="16"/>
          <w:szCs w:val="16"/>
        </w:rPr>
        <w:t>FOR</w:t>
      </w:r>
      <w:r w:rsidR="00FB7A91">
        <w:rPr>
          <w:rFonts w:asciiTheme="minorHAnsi" w:hAnsiTheme="minorHAnsi" w:cstheme="minorHAnsi"/>
          <w:b/>
          <w:bCs/>
          <w:sz w:val="16"/>
          <w:szCs w:val="16"/>
        </w:rPr>
        <w:t xml:space="preserve"> </w:t>
      </w:r>
      <w:r w:rsidR="00212758" w:rsidRPr="006D0DA3">
        <w:rPr>
          <w:rFonts w:asciiTheme="minorHAnsi" w:hAnsiTheme="minorHAnsi" w:cstheme="minorHAnsi"/>
          <w:b/>
          <w:bCs/>
          <w:sz w:val="16"/>
          <w:szCs w:val="16"/>
        </w:rPr>
        <w:t xml:space="preserve">THE </w:t>
      </w:r>
      <w:r w:rsidR="00684DDC">
        <w:rPr>
          <w:rFonts w:asciiTheme="minorHAnsi" w:hAnsiTheme="minorHAnsi" w:cstheme="minorHAnsi"/>
          <w:b/>
          <w:bCs/>
          <w:sz w:val="16"/>
          <w:szCs w:val="16"/>
        </w:rPr>
        <w:t>MONTH</w:t>
      </w:r>
      <w:r w:rsidR="001D0D98">
        <w:rPr>
          <w:rFonts w:asciiTheme="minorHAnsi" w:hAnsiTheme="minorHAnsi" w:cstheme="minorHAnsi"/>
          <w:b/>
          <w:bCs/>
          <w:sz w:val="16"/>
          <w:szCs w:val="16"/>
        </w:rPr>
        <w:t xml:space="preserve"> </w:t>
      </w:r>
      <w:r w:rsidR="00223B18" w:rsidRPr="006D0DA3">
        <w:rPr>
          <w:rFonts w:asciiTheme="minorHAnsi" w:hAnsiTheme="minorHAnsi" w:cstheme="minorHAnsi"/>
          <w:b/>
          <w:bCs/>
          <w:sz w:val="16"/>
          <w:szCs w:val="16"/>
        </w:rPr>
        <w:t xml:space="preserve">ENDED </w:t>
      </w:r>
      <w:r w:rsidR="001E6FD5" w:rsidRPr="006D0DA3">
        <w:rPr>
          <w:rFonts w:asciiTheme="minorHAnsi" w:hAnsiTheme="minorHAnsi" w:cstheme="minorHAnsi"/>
          <w:b/>
          <w:bCs/>
          <w:sz w:val="16"/>
          <w:szCs w:val="16"/>
        </w:rPr>
        <w:t>3</w:t>
      </w:r>
      <w:r w:rsidR="00F64687">
        <w:rPr>
          <w:rFonts w:asciiTheme="minorHAnsi" w:hAnsiTheme="minorHAnsi" w:cstheme="minorHAnsi"/>
          <w:b/>
          <w:bCs/>
          <w:sz w:val="16"/>
          <w:szCs w:val="16"/>
        </w:rPr>
        <w:t>1 JULY</w:t>
      </w:r>
      <w:r w:rsidR="00D834E4">
        <w:rPr>
          <w:rFonts w:asciiTheme="minorHAnsi" w:hAnsiTheme="minorHAnsi" w:cstheme="minorHAnsi"/>
          <w:b/>
          <w:bCs/>
          <w:sz w:val="16"/>
          <w:szCs w:val="16"/>
        </w:rPr>
        <w:t xml:space="preserve"> </w:t>
      </w:r>
      <w:r w:rsidR="00794515">
        <w:rPr>
          <w:rFonts w:asciiTheme="minorHAnsi" w:hAnsiTheme="minorHAnsi" w:cstheme="minorHAnsi"/>
          <w:b/>
          <w:bCs/>
          <w:sz w:val="16"/>
          <w:szCs w:val="16"/>
        </w:rPr>
        <w:t xml:space="preserve"> </w:t>
      </w:r>
      <w:r w:rsidR="001E6FD5" w:rsidRPr="006D0DA3">
        <w:rPr>
          <w:rFonts w:asciiTheme="minorHAnsi" w:hAnsiTheme="minorHAnsi" w:cstheme="minorHAnsi"/>
          <w:b/>
          <w:bCs/>
          <w:sz w:val="16"/>
          <w:szCs w:val="16"/>
        </w:rPr>
        <w:t>201</w:t>
      </w:r>
      <w:r w:rsidR="00794515">
        <w:rPr>
          <w:rFonts w:asciiTheme="minorHAnsi" w:hAnsiTheme="minorHAnsi" w:cstheme="minorHAnsi"/>
          <w:b/>
          <w:bCs/>
          <w:sz w:val="16"/>
          <w:szCs w:val="16"/>
        </w:rPr>
        <w:t>6</w:t>
      </w:r>
    </w:p>
    <w:p w:rsidR="00643651" w:rsidRPr="006D0DA3" w:rsidRDefault="00643651" w:rsidP="00223B18">
      <w:pPr>
        <w:autoSpaceDE w:val="0"/>
        <w:autoSpaceDN w:val="0"/>
        <w:adjustRightInd w:val="0"/>
        <w:spacing w:after="0" w:line="240" w:lineRule="auto"/>
        <w:rPr>
          <w:rFonts w:asciiTheme="minorHAnsi" w:hAnsiTheme="minorHAnsi" w:cstheme="minorHAnsi"/>
          <w:b/>
          <w:bCs/>
          <w:sz w:val="16"/>
          <w:szCs w:val="16"/>
        </w:rPr>
      </w:pPr>
    </w:p>
    <w:tbl>
      <w:tblPr>
        <w:tblW w:w="13865" w:type="dxa"/>
        <w:tblInd w:w="93" w:type="dxa"/>
        <w:tblLook w:val="00A0" w:firstRow="1" w:lastRow="0" w:firstColumn="1" w:lastColumn="0" w:noHBand="0" w:noVBand="0"/>
      </w:tblPr>
      <w:tblGrid>
        <w:gridCol w:w="3635"/>
        <w:gridCol w:w="1433"/>
        <w:gridCol w:w="907"/>
        <w:gridCol w:w="1522"/>
        <w:gridCol w:w="1306"/>
        <w:gridCol w:w="1420"/>
        <w:gridCol w:w="1308"/>
        <w:gridCol w:w="1139"/>
        <w:gridCol w:w="1195"/>
      </w:tblGrid>
      <w:tr w:rsidR="00277004" w:rsidRPr="006D0DA3" w:rsidTr="00277004">
        <w:trPr>
          <w:trHeight w:val="227"/>
        </w:trPr>
        <w:tc>
          <w:tcPr>
            <w:tcW w:w="3635" w:type="dxa"/>
            <w:tcBorders>
              <w:top w:val="nil"/>
              <w:left w:val="nil"/>
              <w:bottom w:val="nil"/>
              <w:right w:val="nil"/>
            </w:tcBorders>
            <w:noWrap/>
            <w:vAlign w:val="bottom"/>
          </w:tcPr>
          <w:p w:rsidR="00277004" w:rsidRPr="006D0DA3" w:rsidRDefault="00277004" w:rsidP="00223B18">
            <w:pPr>
              <w:spacing w:after="0" w:line="240" w:lineRule="auto"/>
              <w:rPr>
                <w:rFonts w:asciiTheme="minorHAnsi" w:hAnsiTheme="minorHAnsi" w:cstheme="minorHAnsi"/>
                <w:b/>
                <w:color w:val="000000"/>
                <w:sz w:val="16"/>
                <w:szCs w:val="16"/>
              </w:rPr>
            </w:pPr>
          </w:p>
        </w:tc>
        <w:tc>
          <w:tcPr>
            <w:tcW w:w="1433" w:type="dxa"/>
            <w:tcBorders>
              <w:top w:val="nil"/>
              <w:left w:val="nil"/>
              <w:bottom w:val="nil"/>
              <w:right w:val="nil"/>
            </w:tcBorders>
          </w:tcPr>
          <w:p w:rsidR="00277004" w:rsidRPr="006D0DA3" w:rsidRDefault="00837493" w:rsidP="00223B18">
            <w:pPr>
              <w:spacing w:after="0" w:line="240" w:lineRule="auto"/>
              <w:jc w:val="center"/>
              <w:rPr>
                <w:rFonts w:asciiTheme="minorHAnsi" w:hAnsiTheme="minorHAnsi" w:cstheme="minorHAnsi"/>
                <w:b/>
                <w:noProof/>
                <w:color w:val="000000"/>
                <w:sz w:val="16"/>
                <w:szCs w:val="16"/>
              </w:rPr>
            </w:pPr>
            <w:r>
              <w:rPr>
                <w:rFonts w:asciiTheme="minorHAnsi" w:hAnsiTheme="minorHAnsi" w:cstheme="minorHAnsi"/>
                <w:b/>
                <w:noProof/>
                <w:color w:val="000000"/>
                <w:sz w:val="16"/>
                <w:szCs w:val="16"/>
              </w:rPr>
              <mc:AlternateContent>
                <mc:Choice Requires="wps">
                  <w:drawing>
                    <wp:anchor distT="4294967295" distB="4294967295" distL="114300" distR="114300" simplePos="0" relativeHeight="251665408" behindDoc="0" locked="0" layoutInCell="1" allowOverlap="1">
                      <wp:simplePos x="0" y="0"/>
                      <wp:positionH relativeFrom="column">
                        <wp:posOffset>118745</wp:posOffset>
                      </wp:positionH>
                      <wp:positionV relativeFrom="paragraph">
                        <wp:posOffset>66039</wp:posOffset>
                      </wp:positionV>
                      <wp:extent cx="695325" cy="0"/>
                      <wp:effectExtent l="38100" t="76200" r="0" b="952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35pt;margin-top:5.2pt;width:54.7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" strokecolor="#4a7ebb">
                      <v:stroke endarrow="block"/>
                      <o:lock v:ext="edit" shapetype="f"/>
                    </v:shape>
                  </w:pict>
                </mc:Fallback>
              </mc:AlternateContent>
            </w:r>
          </w:p>
        </w:tc>
        <w:tc>
          <w:tcPr>
            <w:tcW w:w="5155" w:type="dxa"/>
            <w:gridSpan w:val="4"/>
            <w:tcBorders>
              <w:top w:val="nil"/>
              <w:left w:val="nil"/>
              <w:bottom w:val="nil"/>
              <w:right w:val="nil"/>
            </w:tcBorders>
            <w:noWrap/>
            <w:vAlign w:val="bottom"/>
          </w:tcPr>
          <w:p w:rsidR="00277004" w:rsidRPr="006D0DA3" w:rsidRDefault="00837493" w:rsidP="00277004">
            <w:pPr>
              <w:spacing w:after="0" w:line="240" w:lineRule="auto"/>
              <w:rPr>
                <w:rFonts w:asciiTheme="minorHAnsi" w:hAnsiTheme="minorHAnsi" w:cstheme="minorHAnsi"/>
                <w:b/>
                <w:color w:val="000000"/>
                <w:sz w:val="16"/>
                <w:szCs w:val="16"/>
              </w:rPr>
            </w:pPr>
            <w:r>
              <w:rPr>
                <w:rFonts w:asciiTheme="minorHAnsi" w:hAnsiTheme="minorHAnsi" w:cstheme="minorHAnsi"/>
                <w:b/>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1863090</wp:posOffset>
                      </wp:positionH>
                      <wp:positionV relativeFrom="paragraph">
                        <wp:posOffset>61595</wp:posOffset>
                      </wp:positionV>
                      <wp:extent cx="1209675" cy="635"/>
                      <wp:effectExtent l="5715" t="52070" r="22860" b="6159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bentConnector3">
                                <a:avLst>
                                  <a:gd name="adj1" fmla="val 49972"/>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146.7pt;margin-top:4.85pt;width:9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" adj="10794" strokecolor="#4a7ebb">
                      <v:stroke endarrow="block"/>
                    </v:shape>
                  </w:pict>
                </mc:Fallback>
              </mc:AlternateContent>
            </w:r>
            <w:r w:rsidR="00277004" w:rsidRPr="006D0DA3">
              <w:rPr>
                <w:rFonts w:asciiTheme="minorHAnsi" w:hAnsiTheme="minorHAnsi" w:cstheme="minorHAnsi"/>
                <w:b/>
                <w:color w:val="000000"/>
                <w:sz w:val="16"/>
                <w:szCs w:val="16"/>
              </w:rPr>
              <w:t xml:space="preserve">Attributable to owners of the Company </w:t>
            </w:r>
          </w:p>
        </w:tc>
        <w:tc>
          <w:tcPr>
            <w:tcW w:w="1308"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p>
        </w:tc>
        <w:tc>
          <w:tcPr>
            <w:tcW w:w="1139"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p>
        </w:tc>
        <w:tc>
          <w:tcPr>
            <w:tcW w:w="1195"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p>
        </w:tc>
      </w:tr>
      <w:tr w:rsidR="00277004" w:rsidRPr="006D0DA3" w:rsidTr="00531E17">
        <w:trPr>
          <w:trHeight w:val="227"/>
        </w:trPr>
        <w:tc>
          <w:tcPr>
            <w:tcW w:w="3635" w:type="dxa"/>
            <w:tcBorders>
              <w:top w:val="nil"/>
              <w:left w:val="nil"/>
              <w:bottom w:val="nil"/>
              <w:right w:val="nil"/>
            </w:tcBorders>
            <w:noWrap/>
            <w:vAlign w:val="bottom"/>
          </w:tcPr>
          <w:p w:rsidR="00277004" w:rsidRPr="006D0DA3" w:rsidRDefault="00277004" w:rsidP="00223B18">
            <w:pPr>
              <w:spacing w:after="0" w:line="240" w:lineRule="auto"/>
              <w:rPr>
                <w:rFonts w:asciiTheme="minorHAnsi" w:hAnsiTheme="minorHAnsi" w:cstheme="minorHAnsi"/>
                <w:b/>
                <w:color w:val="000000"/>
                <w:sz w:val="16"/>
                <w:szCs w:val="16"/>
              </w:rPr>
            </w:pPr>
          </w:p>
        </w:tc>
        <w:tc>
          <w:tcPr>
            <w:tcW w:w="3862" w:type="dxa"/>
            <w:gridSpan w:val="3"/>
            <w:tcBorders>
              <w:top w:val="nil"/>
              <w:left w:val="nil"/>
              <w:bottom w:val="nil"/>
              <w:right w:val="nil"/>
            </w:tcBorders>
            <w:noWrap/>
            <w:vAlign w:val="bottom"/>
          </w:tcPr>
          <w:p w:rsidR="00277004" w:rsidRPr="006D0DA3" w:rsidRDefault="00837493" w:rsidP="00223B18">
            <w:pPr>
              <w:spacing w:after="0" w:line="240" w:lineRule="auto"/>
              <w:jc w:val="center"/>
              <w:rPr>
                <w:rFonts w:asciiTheme="minorHAnsi" w:hAnsiTheme="minorHAnsi" w:cstheme="minorHAnsi"/>
                <w:b/>
                <w:color w:val="000000"/>
                <w:sz w:val="16"/>
                <w:szCs w:val="16"/>
              </w:rPr>
            </w:pPr>
            <w:r>
              <w:rPr>
                <w:rFonts w:asciiTheme="minorHAnsi" w:hAnsiTheme="minorHAnsi" w:cstheme="minorHAnsi"/>
                <w:b/>
                <w:noProof/>
                <w:color w:val="000000"/>
                <w:sz w:val="16"/>
                <w:szCs w:val="16"/>
              </w:rPr>
              <mc:AlternateContent>
                <mc:Choice Requires="wps">
                  <w:drawing>
                    <wp:anchor distT="4294967295" distB="4294967295" distL="114300" distR="114300" simplePos="0" relativeHeight="251664384" behindDoc="0" locked="0" layoutInCell="1" allowOverlap="1">
                      <wp:simplePos x="0" y="0"/>
                      <wp:positionH relativeFrom="column">
                        <wp:posOffset>918210</wp:posOffset>
                      </wp:positionH>
                      <wp:positionV relativeFrom="paragraph">
                        <wp:posOffset>53974</wp:posOffset>
                      </wp:positionV>
                      <wp:extent cx="447675" cy="0"/>
                      <wp:effectExtent l="38100" t="76200" r="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767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2.3pt;margin-top:4.25pt;width:35.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" strokecolor="#4a7ebb">
                      <v:stroke endarrow="block"/>
                      <o:lock v:ext="edit" shapetype="f"/>
                    </v:shape>
                  </w:pict>
                </mc:Fallback>
              </mc:AlternateContent>
            </w:r>
            <w:r w:rsidR="008E0A5F">
              <w:rPr>
                <w:rFonts w:asciiTheme="minorHAnsi" w:hAnsiTheme="minorHAnsi" w:cstheme="minorHAnsi"/>
                <w:b/>
                <w:color w:val="000000"/>
                <w:sz w:val="16"/>
                <w:szCs w:val="16"/>
              </w:rPr>
              <w:t xml:space="preserve">                                                      </w:t>
            </w:r>
            <w:r w:rsidR="00277004" w:rsidRPr="006D0DA3">
              <w:rPr>
                <w:rFonts w:asciiTheme="minorHAnsi" w:hAnsiTheme="minorHAnsi" w:cstheme="minorHAnsi"/>
                <w:b/>
                <w:color w:val="000000"/>
                <w:sz w:val="16"/>
                <w:szCs w:val="16"/>
              </w:rPr>
              <w:t>Non-distributable</w:t>
            </w:r>
          </w:p>
        </w:tc>
        <w:tc>
          <w:tcPr>
            <w:tcW w:w="1306" w:type="dxa"/>
            <w:tcBorders>
              <w:top w:val="nil"/>
              <w:left w:val="nil"/>
              <w:bottom w:val="nil"/>
              <w:right w:val="nil"/>
            </w:tcBorders>
          </w:tcPr>
          <w:p w:rsidR="00277004" w:rsidRPr="006D0DA3" w:rsidRDefault="00837493" w:rsidP="00223B18">
            <w:pPr>
              <w:spacing w:after="0" w:line="240" w:lineRule="auto"/>
              <w:jc w:val="right"/>
              <w:rPr>
                <w:rFonts w:asciiTheme="minorHAnsi" w:hAnsiTheme="minorHAnsi" w:cstheme="minorHAnsi"/>
                <w:b/>
                <w:color w:val="000000"/>
                <w:sz w:val="16"/>
                <w:szCs w:val="16"/>
              </w:rPr>
            </w:pPr>
            <w:r>
              <w:rPr>
                <w:rFonts w:asciiTheme="minorHAnsi" w:hAnsiTheme="minorHAnsi" w:cstheme="minorHAnsi"/>
                <w:b/>
                <w:noProof/>
                <w:color w:val="000000"/>
                <w:sz w:val="16"/>
                <w:szCs w:val="1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79375</wp:posOffset>
                      </wp:positionV>
                      <wp:extent cx="711200" cy="0"/>
                      <wp:effectExtent l="9525" t="60325" r="22225" b="53975"/>
                      <wp:wrapNone/>
                      <wp:docPr id="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straightConnector1">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0;margin-top:6.25pt;width:5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" strokecolor="#4a7ebb">
                      <v:stroke endarrow="block"/>
                    </v:shape>
                  </w:pict>
                </mc:Fallback>
              </mc:AlternateContent>
            </w:r>
          </w:p>
        </w:tc>
        <w:tc>
          <w:tcPr>
            <w:tcW w:w="142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Distributable </w:t>
            </w:r>
          </w:p>
        </w:tc>
        <w:tc>
          <w:tcPr>
            <w:tcW w:w="1308"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p>
        </w:tc>
        <w:tc>
          <w:tcPr>
            <w:tcW w:w="1139" w:type="dxa"/>
            <w:tcBorders>
              <w:top w:val="nil"/>
              <w:left w:val="nil"/>
              <w:bottom w:val="nil"/>
              <w:right w:val="nil"/>
            </w:tcBorders>
            <w:noWrap/>
            <w:vAlign w:val="bottom"/>
          </w:tcPr>
          <w:p w:rsidR="00277004" w:rsidRPr="006D0DA3" w:rsidRDefault="00277004" w:rsidP="008269FA">
            <w:pPr>
              <w:spacing w:after="0" w:line="240" w:lineRule="auto"/>
              <w:jc w:val="right"/>
              <w:rPr>
                <w:rFonts w:asciiTheme="minorHAnsi" w:hAnsiTheme="minorHAnsi" w:cstheme="minorHAnsi"/>
                <w:b/>
                <w:color w:val="000000"/>
                <w:sz w:val="16"/>
                <w:szCs w:val="16"/>
              </w:rPr>
            </w:pPr>
          </w:p>
        </w:tc>
        <w:tc>
          <w:tcPr>
            <w:tcW w:w="1195"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p>
        </w:tc>
      </w:tr>
      <w:tr w:rsidR="00277004" w:rsidRPr="006D0DA3" w:rsidTr="00531E17">
        <w:trPr>
          <w:trHeight w:val="227"/>
        </w:trPr>
        <w:tc>
          <w:tcPr>
            <w:tcW w:w="3635" w:type="dxa"/>
            <w:tcBorders>
              <w:top w:val="nil"/>
              <w:left w:val="nil"/>
              <w:bottom w:val="nil"/>
              <w:right w:val="nil"/>
            </w:tcBorders>
            <w:noWrap/>
            <w:vAlign w:val="bottom"/>
          </w:tcPr>
          <w:p w:rsidR="00277004" w:rsidRPr="006D0DA3" w:rsidRDefault="00277004" w:rsidP="00223B18">
            <w:pPr>
              <w:spacing w:after="0" w:line="240" w:lineRule="auto"/>
              <w:rPr>
                <w:rFonts w:asciiTheme="minorHAnsi" w:hAnsiTheme="minorHAnsi" w:cstheme="minorHAnsi"/>
                <w:b/>
                <w:color w:val="000000"/>
                <w:sz w:val="16"/>
                <w:szCs w:val="16"/>
              </w:rPr>
            </w:pPr>
          </w:p>
        </w:tc>
        <w:tc>
          <w:tcPr>
            <w:tcW w:w="1433"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Share Capital</w:t>
            </w:r>
          </w:p>
        </w:tc>
        <w:tc>
          <w:tcPr>
            <w:tcW w:w="907"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Share Premium</w:t>
            </w:r>
          </w:p>
        </w:tc>
        <w:tc>
          <w:tcPr>
            <w:tcW w:w="1522"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Foreign Exchange Fluctuation Reserve</w:t>
            </w:r>
          </w:p>
        </w:tc>
        <w:tc>
          <w:tcPr>
            <w:tcW w:w="1306" w:type="dxa"/>
            <w:tcBorders>
              <w:top w:val="nil"/>
              <w:left w:val="nil"/>
              <w:bottom w:val="nil"/>
              <w:right w:val="nil"/>
            </w:tcBorders>
          </w:tcPr>
          <w:p w:rsidR="00393B2D" w:rsidRPr="006D0DA3" w:rsidRDefault="00393B2D" w:rsidP="00223B18">
            <w:pPr>
              <w:spacing w:after="0" w:line="240" w:lineRule="auto"/>
              <w:jc w:val="right"/>
              <w:rPr>
                <w:rFonts w:asciiTheme="minorHAnsi" w:hAnsiTheme="minorHAnsi" w:cstheme="minorHAnsi"/>
                <w:b/>
                <w:color w:val="000000"/>
                <w:sz w:val="16"/>
                <w:szCs w:val="16"/>
              </w:rPr>
            </w:pPr>
          </w:p>
          <w:p w:rsidR="00393B2D" w:rsidRPr="006D0DA3" w:rsidRDefault="00320DEA"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Share</w:t>
            </w:r>
          </w:p>
          <w:p w:rsidR="00277004" w:rsidRPr="006D0DA3" w:rsidRDefault="00320DEA"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Option</w:t>
            </w:r>
          </w:p>
          <w:p w:rsidR="00393B2D" w:rsidRPr="006D0DA3" w:rsidRDefault="00393B2D"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Reserve</w:t>
            </w:r>
          </w:p>
        </w:tc>
        <w:tc>
          <w:tcPr>
            <w:tcW w:w="1420" w:type="dxa"/>
            <w:tcBorders>
              <w:top w:val="nil"/>
              <w:left w:val="nil"/>
              <w:bottom w:val="nil"/>
              <w:right w:val="nil"/>
            </w:tcBorders>
            <w:noWrap/>
            <w:vAlign w:val="bottom"/>
          </w:tcPr>
          <w:p w:rsidR="00277004" w:rsidRPr="006D0DA3" w:rsidRDefault="005B2B81"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Accumulated Losses</w:t>
            </w:r>
          </w:p>
        </w:tc>
        <w:tc>
          <w:tcPr>
            <w:tcW w:w="1308"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Shareholders' Fund</w:t>
            </w:r>
          </w:p>
        </w:tc>
        <w:tc>
          <w:tcPr>
            <w:tcW w:w="1139"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Non-controlling Interest</w:t>
            </w:r>
          </w:p>
        </w:tc>
        <w:tc>
          <w:tcPr>
            <w:tcW w:w="1195"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Total equity</w:t>
            </w:r>
          </w:p>
        </w:tc>
      </w:tr>
      <w:tr w:rsidR="00277004" w:rsidRPr="006D0DA3" w:rsidTr="00531E17">
        <w:trPr>
          <w:trHeight w:val="227"/>
        </w:trPr>
        <w:tc>
          <w:tcPr>
            <w:tcW w:w="3635" w:type="dxa"/>
            <w:tcBorders>
              <w:top w:val="nil"/>
              <w:left w:val="nil"/>
              <w:bottom w:val="nil"/>
              <w:right w:val="nil"/>
            </w:tcBorders>
            <w:noWrap/>
            <w:vAlign w:val="bottom"/>
          </w:tcPr>
          <w:p w:rsidR="00277004" w:rsidRPr="006D0DA3" w:rsidRDefault="00277004" w:rsidP="00223B18">
            <w:pPr>
              <w:spacing w:after="0" w:line="240" w:lineRule="auto"/>
              <w:rPr>
                <w:rFonts w:asciiTheme="minorHAnsi" w:hAnsiTheme="minorHAnsi" w:cstheme="minorHAnsi"/>
                <w:b/>
                <w:color w:val="000000"/>
                <w:sz w:val="16"/>
                <w:szCs w:val="16"/>
              </w:rPr>
            </w:pPr>
          </w:p>
        </w:tc>
        <w:tc>
          <w:tcPr>
            <w:tcW w:w="1433"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RM'000 </w:t>
            </w:r>
          </w:p>
        </w:tc>
        <w:tc>
          <w:tcPr>
            <w:tcW w:w="907"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RM'000 </w:t>
            </w:r>
          </w:p>
        </w:tc>
        <w:tc>
          <w:tcPr>
            <w:tcW w:w="1522"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RM'000 </w:t>
            </w:r>
          </w:p>
        </w:tc>
        <w:tc>
          <w:tcPr>
            <w:tcW w:w="1306" w:type="dxa"/>
            <w:tcBorders>
              <w:top w:val="nil"/>
              <w:left w:val="nil"/>
              <w:bottom w:val="nil"/>
              <w:right w:val="nil"/>
            </w:tcBorders>
          </w:tcPr>
          <w:p w:rsidR="00277004" w:rsidRPr="006D0DA3" w:rsidRDefault="00393B2D"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RM’000</w:t>
            </w:r>
          </w:p>
        </w:tc>
        <w:tc>
          <w:tcPr>
            <w:tcW w:w="142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RM'000 </w:t>
            </w:r>
          </w:p>
        </w:tc>
        <w:tc>
          <w:tcPr>
            <w:tcW w:w="1308"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RM'000 </w:t>
            </w:r>
          </w:p>
        </w:tc>
        <w:tc>
          <w:tcPr>
            <w:tcW w:w="1139"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RM'000 </w:t>
            </w:r>
          </w:p>
        </w:tc>
        <w:tc>
          <w:tcPr>
            <w:tcW w:w="1195"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b/>
                <w:color w:val="000000"/>
                <w:sz w:val="16"/>
                <w:szCs w:val="16"/>
              </w:rPr>
            </w:pPr>
            <w:r w:rsidRPr="006D0DA3">
              <w:rPr>
                <w:rFonts w:asciiTheme="minorHAnsi" w:hAnsiTheme="minorHAnsi" w:cstheme="minorHAnsi"/>
                <w:b/>
                <w:color w:val="000000"/>
                <w:sz w:val="16"/>
                <w:szCs w:val="16"/>
              </w:rPr>
              <w:t xml:space="preserve"> RM'000 </w:t>
            </w:r>
          </w:p>
        </w:tc>
      </w:tr>
      <w:tr w:rsidR="00277004" w:rsidRPr="006D0DA3" w:rsidTr="00531E17">
        <w:trPr>
          <w:trHeight w:val="227"/>
        </w:trPr>
        <w:tc>
          <w:tcPr>
            <w:tcW w:w="3635" w:type="dxa"/>
            <w:tcBorders>
              <w:top w:val="nil"/>
              <w:left w:val="nil"/>
              <w:bottom w:val="nil"/>
              <w:right w:val="nil"/>
            </w:tcBorders>
            <w:noWrap/>
            <w:vAlign w:val="bottom"/>
          </w:tcPr>
          <w:p w:rsidR="00277004" w:rsidRPr="006D0DA3" w:rsidRDefault="00277004" w:rsidP="00223B18">
            <w:pPr>
              <w:spacing w:after="0" w:line="240" w:lineRule="auto"/>
              <w:rPr>
                <w:rFonts w:asciiTheme="minorHAnsi" w:hAnsiTheme="minorHAnsi" w:cstheme="minorHAnsi"/>
                <w:color w:val="000000"/>
                <w:sz w:val="16"/>
                <w:szCs w:val="16"/>
              </w:rPr>
            </w:pPr>
          </w:p>
        </w:tc>
        <w:tc>
          <w:tcPr>
            <w:tcW w:w="1433"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907"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522"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306" w:type="dxa"/>
            <w:tcBorders>
              <w:top w:val="nil"/>
              <w:left w:val="nil"/>
              <w:bottom w:val="nil"/>
              <w:right w:val="nil"/>
            </w:tcBorders>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42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308"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139"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195"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r>
      <w:tr w:rsidR="00277004" w:rsidRPr="006D0DA3" w:rsidTr="00531E17">
        <w:trPr>
          <w:trHeight w:val="227"/>
        </w:trPr>
        <w:tc>
          <w:tcPr>
            <w:tcW w:w="3635" w:type="dxa"/>
            <w:tcBorders>
              <w:top w:val="nil"/>
              <w:left w:val="nil"/>
              <w:bottom w:val="nil"/>
              <w:right w:val="nil"/>
            </w:tcBorders>
            <w:noWrap/>
            <w:vAlign w:val="bottom"/>
          </w:tcPr>
          <w:p w:rsidR="00277004" w:rsidRPr="006D0DA3" w:rsidRDefault="00277004" w:rsidP="00244875">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Balance as at 1 April 2015</w:t>
            </w:r>
          </w:p>
        </w:tc>
        <w:tc>
          <w:tcPr>
            <w:tcW w:w="1433" w:type="dxa"/>
            <w:tcBorders>
              <w:top w:val="nil"/>
              <w:left w:val="nil"/>
              <w:bottom w:val="nil"/>
              <w:right w:val="nil"/>
            </w:tcBorders>
            <w:noWrap/>
            <w:vAlign w:val="bottom"/>
          </w:tcPr>
          <w:p w:rsidR="00277004" w:rsidRPr="006D0DA3" w:rsidRDefault="00A00BD1"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27,237</w:t>
            </w:r>
          </w:p>
        </w:tc>
        <w:tc>
          <w:tcPr>
            <w:tcW w:w="907" w:type="dxa"/>
            <w:tcBorders>
              <w:top w:val="nil"/>
              <w:left w:val="nil"/>
              <w:bottom w:val="nil"/>
              <w:right w:val="nil"/>
            </w:tcBorders>
            <w:noWrap/>
            <w:vAlign w:val="bottom"/>
          </w:tcPr>
          <w:p w:rsidR="00277004" w:rsidRPr="006D0DA3" w:rsidRDefault="00A00BD1"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11,082</w:t>
            </w:r>
          </w:p>
        </w:tc>
        <w:tc>
          <w:tcPr>
            <w:tcW w:w="1522" w:type="dxa"/>
            <w:tcBorders>
              <w:top w:val="nil"/>
              <w:left w:val="nil"/>
              <w:bottom w:val="nil"/>
              <w:right w:val="nil"/>
            </w:tcBorders>
            <w:noWrap/>
            <w:vAlign w:val="bottom"/>
          </w:tcPr>
          <w:p w:rsidR="00277004" w:rsidRPr="006D0DA3" w:rsidRDefault="00A00BD1" w:rsidP="0099228F">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(223)</w:t>
            </w:r>
          </w:p>
        </w:tc>
        <w:tc>
          <w:tcPr>
            <w:tcW w:w="1306" w:type="dxa"/>
            <w:tcBorders>
              <w:top w:val="nil"/>
              <w:left w:val="nil"/>
              <w:bottom w:val="nil"/>
              <w:right w:val="nil"/>
            </w:tcBorders>
          </w:tcPr>
          <w:p w:rsidR="00A00BD1" w:rsidRPr="006D0DA3" w:rsidRDefault="00A00BD1" w:rsidP="00A00BD1">
            <w:pPr>
              <w:spacing w:after="0" w:line="240" w:lineRule="auto"/>
              <w:ind w:right="320"/>
              <w:rPr>
                <w:rFonts w:asciiTheme="minorHAnsi" w:hAnsiTheme="minorHAnsi" w:cstheme="minorHAnsi"/>
                <w:color w:val="000000"/>
                <w:sz w:val="16"/>
                <w:szCs w:val="16"/>
              </w:rPr>
            </w:pPr>
          </w:p>
          <w:p w:rsidR="00277004" w:rsidRPr="006D0DA3" w:rsidRDefault="00A00BD1" w:rsidP="00FF1421">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420" w:type="dxa"/>
            <w:tcBorders>
              <w:top w:val="nil"/>
              <w:left w:val="nil"/>
              <w:bottom w:val="nil"/>
              <w:right w:val="nil"/>
            </w:tcBorders>
            <w:noWrap/>
            <w:vAlign w:val="bottom"/>
          </w:tcPr>
          <w:p w:rsidR="00277004" w:rsidRPr="006D0DA3" w:rsidRDefault="00277004" w:rsidP="00FF1421">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r w:rsidR="00A00BD1" w:rsidRPr="006D0DA3">
              <w:rPr>
                <w:rFonts w:asciiTheme="minorHAnsi" w:hAnsiTheme="minorHAnsi" w:cstheme="minorHAnsi"/>
                <w:color w:val="000000"/>
                <w:sz w:val="16"/>
                <w:szCs w:val="16"/>
              </w:rPr>
              <w:t>22,975</w:t>
            </w:r>
            <w:r w:rsidRPr="006D0DA3">
              <w:rPr>
                <w:rFonts w:asciiTheme="minorHAnsi" w:hAnsiTheme="minorHAnsi" w:cstheme="minorHAnsi"/>
                <w:color w:val="000000"/>
                <w:sz w:val="16"/>
                <w:szCs w:val="16"/>
              </w:rPr>
              <w:t xml:space="preserve">) </w:t>
            </w:r>
          </w:p>
        </w:tc>
        <w:tc>
          <w:tcPr>
            <w:tcW w:w="1308" w:type="dxa"/>
            <w:tcBorders>
              <w:top w:val="nil"/>
              <w:left w:val="nil"/>
              <w:bottom w:val="nil"/>
              <w:right w:val="nil"/>
            </w:tcBorders>
            <w:noWrap/>
            <w:vAlign w:val="bottom"/>
          </w:tcPr>
          <w:p w:rsidR="00277004" w:rsidRPr="006D0DA3" w:rsidRDefault="00A00BD1" w:rsidP="0099228F">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15,121</w:t>
            </w:r>
          </w:p>
        </w:tc>
        <w:tc>
          <w:tcPr>
            <w:tcW w:w="1139" w:type="dxa"/>
            <w:tcBorders>
              <w:top w:val="nil"/>
              <w:left w:val="nil"/>
              <w:bottom w:val="nil"/>
              <w:right w:val="nil"/>
            </w:tcBorders>
            <w:noWrap/>
            <w:vAlign w:val="bottom"/>
          </w:tcPr>
          <w:p w:rsidR="00277004" w:rsidRPr="006D0DA3" w:rsidRDefault="00277004" w:rsidP="006E4F06">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A00BD1" w:rsidRPr="006D0DA3">
              <w:rPr>
                <w:rFonts w:asciiTheme="minorHAnsi" w:hAnsiTheme="minorHAnsi" w:cstheme="minorHAnsi"/>
                <w:color w:val="000000"/>
                <w:sz w:val="16"/>
                <w:szCs w:val="16"/>
              </w:rPr>
              <w:t>120</w:t>
            </w:r>
            <w:r w:rsidRPr="006D0DA3">
              <w:rPr>
                <w:rFonts w:asciiTheme="minorHAnsi" w:hAnsiTheme="minorHAnsi" w:cstheme="minorHAnsi"/>
                <w:color w:val="000000"/>
                <w:sz w:val="16"/>
                <w:szCs w:val="16"/>
              </w:rPr>
              <w:t>)</w:t>
            </w:r>
          </w:p>
        </w:tc>
        <w:tc>
          <w:tcPr>
            <w:tcW w:w="1195" w:type="dxa"/>
            <w:tcBorders>
              <w:top w:val="nil"/>
              <w:left w:val="nil"/>
              <w:bottom w:val="nil"/>
              <w:right w:val="nil"/>
            </w:tcBorders>
            <w:noWrap/>
            <w:vAlign w:val="bottom"/>
          </w:tcPr>
          <w:p w:rsidR="00277004" w:rsidRPr="006D0DA3" w:rsidRDefault="00A00BD1" w:rsidP="0099228F">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15,001</w:t>
            </w:r>
          </w:p>
        </w:tc>
      </w:tr>
      <w:tr w:rsidR="00277004" w:rsidRPr="006D0DA3" w:rsidTr="00531E17">
        <w:trPr>
          <w:trHeight w:val="227"/>
        </w:trPr>
        <w:tc>
          <w:tcPr>
            <w:tcW w:w="3635" w:type="dxa"/>
            <w:tcBorders>
              <w:top w:val="nil"/>
              <w:left w:val="nil"/>
              <w:bottom w:val="nil"/>
              <w:right w:val="nil"/>
            </w:tcBorders>
            <w:noWrap/>
            <w:vAlign w:val="bottom"/>
          </w:tcPr>
          <w:p w:rsidR="00277004" w:rsidRPr="006D0DA3" w:rsidRDefault="00277004"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Tot</w:t>
            </w:r>
            <w:r w:rsidR="00EB7F9A" w:rsidRPr="006D0DA3">
              <w:rPr>
                <w:rFonts w:asciiTheme="minorHAnsi" w:hAnsiTheme="minorHAnsi" w:cstheme="minorHAnsi"/>
                <w:color w:val="000000"/>
                <w:sz w:val="16"/>
                <w:szCs w:val="16"/>
              </w:rPr>
              <w:t>al comprehensive loss</w:t>
            </w:r>
          </w:p>
        </w:tc>
        <w:tc>
          <w:tcPr>
            <w:tcW w:w="1433"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907"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522" w:type="dxa"/>
            <w:tcBorders>
              <w:top w:val="nil"/>
              <w:left w:val="nil"/>
              <w:bottom w:val="nil"/>
              <w:right w:val="nil"/>
            </w:tcBorders>
            <w:noWrap/>
            <w:vAlign w:val="bottom"/>
          </w:tcPr>
          <w:p w:rsidR="00277004" w:rsidRPr="006D0DA3" w:rsidRDefault="00A36039" w:rsidP="006729BA">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(532</w:t>
            </w:r>
            <w:r w:rsidR="00277004" w:rsidRPr="006D0DA3">
              <w:rPr>
                <w:rFonts w:asciiTheme="minorHAnsi" w:hAnsiTheme="minorHAnsi" w:cstheme="minorHAnsi"/>
                <w:color w:val="000000"/>
                <w:sz w:val="16"/>
                <w:szCs w:val="16"/>
              </w:rPr>
              <w:t>)</w:t>
            </w:r>
          </w:p>
        </w:tc>
        <w:tc>
          <w:tcPr>
            <w:tcW w:w="1306" w:type="dxa"/>
            <w:tcBorders>
              <w:top w:val="nil"/>
              <w:left w:val="nil"/>
              <w:bottom w:val="nil"/>
              <w:right w:val="nil"/>
            </w:tcBorders>
          </w:tcPr>
          <w:p w:rsidR="00277004" w:rsidRPr="006D0DA3" w:rsidRDefault="00277004" w:rsidP="006729BA">
            <w:pPr>
              <w:spacing w:after="0" w:line="240" w:lineRule="auto"/>
              <w:jc w:val="right"/>
              <w:rPr>
                <w:rFonts w:asciiTheme="minorHAnsi" w:hAnsiTheme="minorHAnsi" w:cstheme="minorHAnsi"/>
                <w:color w:val="000000"/>
                <w:sz w:val="16"/>
                <w:szCs w:val="16"/>
              </w:rPr>
            </w:pPr>
          </w:p>
        </w:tc>
        <w:tc>
          <w:tcPr>
            <w:tcW w:w="1420" w:type="dxa"/>
            <w:tcBorders>
              <w:top w:val="nil"/>
              <w:left w:val="nil"/>
              <w:bottom w:val="nil"/>
              <w:right w:val="nil"/>
            </w:tcBorders>
            <w:noWrap/>
            <w:vAlign w:val="bottom"/>
          </w:tcPr>
          <w:p w:rsidR="00277004" w:rsidRPr="006D0DA3" w:rsidRDefault="00277004" w:rsidP="00A95B96">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r w:rsidR="00A63B70">
              <w:rPr>
                <w:rFonts w:asciiTheme="minorHAnsi" w:hAnsiTheme="minorHAnsi" w:cstheme="minorHAnsi"/>
                <w:color w:val="000000"/>
                <w:sz w:val="16"/>
                <w:szCs w:val="16"/>
              </w:rPr>
              <w:t>1</w:t>
            </w:r>
            <w:r w:rsidR="00A95B96">
              <w:rPr>
                <w:rFonts w:asciiTheme="minorHAnsi" w:hAnsiTheme="minorHAnsi" w:cstheme="minorHAnsi"/>
                <w:color w:val="000000"/>
                <w:sz w:val="16"/>
                <w:szCs w:val="16"/>
              </w:rPr>
              <w:t>1</w:t>
            </w:r>
            <w:r w:rsidR="00B105D9">
              <w:rPr>
                <w:rFonts w:asciiTheme="minorHAnsi" w:hAnsiTheme="minorHAnsi" w:cstheme="minorHAnsi"/>
                <w:color w:val="000000"/>
                <w:sz w:val="16"/>
                <w:szCs w:val="16"/>
              </w:rPr>
              <w:t>,</w:t>
            </w:r>
            <w:r w:rsidR="00A95B96">
              <w:rPr>
                <w:rFonts w:asciiTheme="minorHAnsi" w:hAnsiTheme="minorHAnsi" w:cstheme="minorHAnsi"/>
                <w:color w:val="000000"/>
                <w:sz w:val="16"/>
                <w:szCs w:val="16"/>
              </w:rPr>
              <w:t>213</w:t>
            </w:r>
            <w:r w:rsidR="004A1D3B">
              <w:rPr>
                <w:rFonts w:asciiTheme="minorHAnsi" w:hAnsiTheme="minorHAnsi" w:cstheme="minorHAnsi"/>
                <w:color w:val="000000"/>
                <w:sz w:val="16"/>
                <w:szCs w:val="16"/>
              </w:rPr>
              <w:t>)</w:t>
            </w:r>
          </w:p>
        </w:tc>
        <w:tc>
          <w:tcPr>
            <w:tcW w:w="1308" w:type="dxa"/>
            <w:tcBorders>
              <w:top w:val="nil"/>
              <w:left w:val="nil"/>
              <w:bottom w:val="nil"/>
              <w:right w:val="nil"/>
            </w:tcBorders>
            <w:noWrap/>
            <w:vAlign w:val="bottom"/>
          </w:tcPr>
          <w:p w:rsidR="00277004" w:rsidRPr="006D0DA3" w:rsidRDefault="00B105D9" w:rsidP="00F6468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(11,</w:t>
            </w:r>
            <w:r w:rsidR="00F64687">
              <w:rPr>
                <w:rFonts w:asciiTheme="minorHAnsi" w:hAnsiTheme="minorHAnsi" w:cstheme="minorHAnsi"/>
                <w:color w:val="000000"/>
                <w:sz w:val="16"/>
                <w:szCs w:val="16"/>
              </w:rPr>
              <w:t>745</w:t>
            </w:r>
            <w:r>
              <w:rPr>
                <w:rFonts w:asciiTheme="minorHAnsi" w:hAnsiTheme="minorHAnsi" w:cstheme="minorHAnsi"/>
                <w:color w:val="000000"/>
                <w:sz w:val="16"/>
                <w:szCs w:val="16"/>
              </w:rPr>
              <w:t>)</w:t>
            </w:r>
          </w:p>
        </w:tc>
        <w:tc>
          <w:tcPr>
            <w:tcW w:w="1139" w:type="dxa"/>
            <w:tcBorders>
              <w:top w:val="nil"/>
              <w:left w:val="nil"/>
              <w:bottom w:val="nil"/>
              <w:right w:val="nil"/>
            </w:tcBorders>
            <w:noWrap/>
            <w:vAlign w:val="bottom"/>
          </w:tcPr>
          <w:p w:rsidR="00277004" w:rsidRPr="006D0DA3" w:rsidRDefault="00835E63" w:rsidP="00835E63">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F07649" w:rsidRPr="006D0DA3">
              <w:rPr>
                <w:rFonts w:asciiTheme="minorHAnsi" w:hAnsiTheme="minorHAnsi" w:cstheme="minorHAnsi"/>
                <w:color w:val="000000"/>
                <w:sz w:val="16"/>
                <w:szCs w:val="16"/>
              </w:rPr>
              <w:t>14</w:t>
            </w:r>
            <w:r w:rsidR="00A36039" w:rsidRPr="006D0DA3">
              <w:rPr>
                <w:rFonts w:asciiTheme="minorHAnsi" w:hAnsiTheme="minorHAnsi" w:cstheme="minorHAnsi"/>
                <w:color w:val="000000"/>
                <w:sz w:val="16"/>
                <w:szCs w:val="16"/>
              </w:rPr>
              <w:t>2</w:t>
            </w:r>
            <w:r>
              <w:rPr>
                <w:rFonts w:asciiTheme="minorHAnsi" w:hAnsiTheme="minorHAnsi" w:cstheme="minorHAnsi"/>
                <w:color w:val="000000"/>
                <w:sz w:val="16"/>
                <w:szCs w:val="16"/>
              </w:rPr>
              <w:t>)</w:t>
            </w:r>
          </w:p>
        </w:tc>
        <w:tc>
          <w:tcPr>
            <w:tcW w:w="1195" w:type="dxa"/>
            <w:tcBorders>
              <w:top w:val="nil"/>
              <w:left w:val="nil"/>
              <w:bottom w:val="nil"/>
              <w:right w:val="nil"/>
            </w:tcBorders>
            <w:noWrap/>
            <w:vAlign w:val="bottom"/>
          </w:tcPr>
          <w:p w:rsidR="00277004" w:rsidRPr="006D0DA3" w:rsidRDefault="00B105D9" w:rsidP="00F6468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(11,</w:t>
            </w:r>
            <w:r w:rsidR="00F64687">
              <w:rPr>
                <w:rFonts w:asciiTheme="minorHAnsi" w:hAnsiTheme="minorHAnsi" w:cstheme="minorHAnsi"/>
                <w:color w:val="000000"/>
                <w:sz w:val="16"/>
                <w:szCs w:val="16"/>
              </w:rPr>
              <w:t>887</w:t>
            </w:r>
            <w:r>
              <w:rPr>
                <w:rFonts w:asciiTheme="minorHAnsi" w:hAnsiTheme="minorHAnsi" w:cstheme="minorHAnsi"/>
                <w:color w:val="000000"/>
                <w:sz w:val="16"/>
                <w:szCs w:val="16"/>
              </w:rPr>
              <w:t>)</w:t>
            </w:r>
          </w:p>
        </w:tc>
      </w:tr>
      <w:tr w:rsidR="00531E17" w:rsidRPr="00F96561" w:rsidTr="00531E17">
        <w:trPr>
          <w:trHeight w:val="227"/>
        </w:trPr>
        <w:tc>
          <w:tcPr>
            <w:tcW w:w="3635" w:type="dxa"/>
            <w:tcBorders>
              <w:top w:val="nil"/>
              <w:left w:val="nil"/>
              <w:bottom w:val="nil"/>
              <w:right w:val="nil"/>
            </w:tcBorders>
            <w:noWrap/>
            <w:vAlign w:val="bottom"/>
          </w:tcPr>
          <w:p w:rsidR="00531E17" w:rsidRPr="006D0DA3" w:rsidRDefault="00531E17" w:rsidP="00223B18">
            <w:pPr>
              <w:spacing w:after="0" w:line="240" w:lineRule="auto"/>
              <w:rPr>
                <w:rFonts w:asciiTheme="minorHAnsi" w:hAnsiTheme="minorHAnsi" w:cstheme="minorHAnsi"/>
                <w:color w:val="000000"/>
                <w:sz w:val="16"/>
                <w:szCs w:val="16"/>
              </w:rPr>
            </w:pPr>
          </w:p>
        </w:tc>
        <w:tc>
          <w:tcPr>
            <w:tcW w:w="1433" w:type="dxa"/>
            <w:tcBorders>
              <w:top w:val="nil"/>
              <w:left w:val="nil"/>
              <w:bottom w:val="nil"/>
              <w:right w:val="nil"/>
            </w:tcBorders>
            <w:noWrap/>
            <w:vAlign w:val="bottom"/>
          </w:tcPr>
          <w:p w:rsidR="00531E17" w:rsidRPr="006D0DA3" w:rsidRDefault="00531E17" w:rsidP="00223B18">
            <w:pPr>
              <w:spacing w:after="0" w:line="240" w:lineRule="auto"/>
              <w:jc w:val="right"/>
              <w:rPr>
                <w:rFonts w:asciiTheme="minorHAnsi" w:hAnsiTheme="minorHAnsi" w:cstheme="minorHAnsi"/>
                <w:color w:val="000000"/>
                <w:sz w:val="16"/>
                <w:szCs w:val="16"/>
              </w:rPr>
            </w:pPr>
          </w:p>
        </w:tc>
        <w:tc>
          <w:tcPr>
            <w:tcW w:w="907" w:type="dxa"/>
            <w:tcBorders>
              <w:top w:val="nil"/>
              <w:left w:val="nil"/>
              <w:bottom w:val="nil"/>
              <w:right w:val="nil"/>
            </w:tcBorders>
            <w:noWrap/>
            <w:vAlign w:val="bottom"/>
          </w:tcPr>
          <w:p w:rsidR="00531E17" w:rsidRPr="006D0DA3" w:rsidRDefault="00531E17" w:rsidP="00DB6C8F">
            <w:pPr>
              <w:spacing w:after="0" w:line="240" w:lineRule="auto"/>
              <w:jc w:val="right"/>
              <w:rPr>
                <w:rFonts w:asciiTheme="minorHAnsi" w:hAnsiTheme="minorHAnsi" w:cstheme="minorHAnsi"/>
                <w:color w:val="000000"/>
                <w:sz w:val="16"/>
                <w:szCs w:val="16"/>
              </w:rPr>
            </w:pPr>
          </w:p>
        </w:tc>
        <w:tc>
          <w:tcPr>
            <w:tcW w:w="1522" w:type="dxa"/>
            <w:tcBorders>
              <w:top w:val="nil"/>
              <w:left w:val="nil"/>
              <w:bottom w:val="nil"/>
              <w:right w:val="nil"/>
            </w:tcBorders>
            <w:noWrap/>
            <w:vAlign w:val="bottom"/>
          </w:tcPr>
          <w:p w:rsidR="00531E17" w:rsidRPr="006D0DA3" w:rsidRDefault="00531E17" w:rsidP="00223B18">
            <w:pPr>
              <w:spacing w:after="0" w:line="240" w:lineRule="auto"/>
              <w:jc w:val="right"/>
              <w:rPr>
                <w:rFonts w:asciiTheme="minorHAnsi" w:hAnsiTheme="minorHAnsi" w:cstheme="minorHAnsi"/>
                <w:color w:val="000000"/>
                <w:sz w:val="16"/>
                <w:szCs w:val="16"/>
              </w:rPr>
            </w:pPr>
          </w:p>
        </w:tc>
        <w:tc>
          <w:tcPr>
            <w:tcW w:w="1306" w:type="dxa"/>
            <w:tcBorders>
              <w:top w:val="nil"/>
              <w:left w:val="nil"/>
              <w:bottom w:val="nil"/>
              <w:right w:val="nil"/>
            </w:tcBorders>
          </w:tcPr>
          <w:p w:rsidR="00531E17" w:rsidRPr="006D0DA3" w:rsidRDefault="00531E17" w:rsidP="00223B18">
            <w:pPr>
              <w:spacing w:after="0" w:line="240" w:lineRule="auto"/>
              <w:jc w:val="right"/>
              <w:rPr>
                <w:rFonts w:asciiTheme="minorHAnsi" w:hAnsiTheme="minorHAnsi" w:cstheme="minorHAnsi"/>
                <w:color w:val="000000"/>
                <w:sz w:val="16"/>
                <w:szCs w:val="16"/>
              </w:rPr>
            </w:pPr>
          </w:p>
        </w:tc>
        <w:tc>
          <w:tcPr>
            <w:tcW w:w="1420" w:type="dxa"/>
            <w:tcBorders>
              <w:top w:val="nil"/>
              <w:left w:val="nil"/>
              <w:bottom w:val="nil"/>
              <w:right w:val="nil"/>
            </w:tcBorders>
            <w:noWrap/>
            <w:vAlign w:val="bottom"/>
          </w:tcPr>
          <w:p w:rsidR="00531E17" w:rsidRPr="006D0DA3" w:rsidRDefault="00531E17" w:rsidP="00223B18">
            <w:pPr>
              <w:spacing w:after="0" w:line="240" w:lineRule="auto"/>
              <w:jc w:val="right"/>
              <w:rPr>
                <w:rFonts w:asciiTheme="minorHAnsi" w:hAnsiTheme="minorHAnsi" w:cstheme="minorHAnsi"/>
                <w:color w:val="000000"/>
                <w:sz w:val="16"/>
                <w:szCs w:val="16"/>
              </w:rPr>
            </w:pPr>
          </w:p>
        </w:tc>
        <w:tc>
          <w:tcPr>
            <w:tcW w:w="1308" w:type="dxa"/>
            <w:tcBorders>
              <w:top w:val="nil"/>
              <w:left w:val="nil"/>
              <w:bottom w:val="nil"/>
              <w:right w:val="nil"/>
            </w:tcBorders>
            <w:noWrap/>
            <w:vAlign w:val="bottom"/>
          </w:tcPr>
          <w:p w:rsidR="00531E17" w:rsidRPr="006D0DA3" w:rsidRDefault="00531E17" w:rsidP="001D4BCA">
            <w:pPr>
              <w:spacing w:after="0" w:line="240" w:lineRule="auto"/>
              <w:jc w:val="right"/>
              <w:rPr>
                <w:rFonts w:asciiTheme="minorHAnsi" w:hAnsiTheme="minorHAnsi" w:cstheme="minorHAnsi"/>
                <w:color w:val="000000"/>
                <w:sz w:val="16"/>
                <w:szCs w:val="16"/>
              </w:rPr>
            </w:pPr>
          </w:p>
        </w:tc>
        <w:tc>
          <w:tcPr>
            <w:tcW w:w="1139" w:type="dxa"/>
            <w:tcBorders>
              <w:top w:val="nil"/>
              <w:left w:val="nil"/>
              <w:bottom w:val="nil"/>
              <w:right w:val="nil"/>
            </w:tcBorders>
            <w:noWrap/>
            <w:vAlign w:val="bottom"/>
          </w:tcPr>
          <w:p w:rsidR="00531E17" w:rsidRPr="006D0DA3" w:rsidRDefault="00531E17" w:rsidP="00223B18">
            <w:pPr>
              <w:spacing w:after="0" w:line="240" w:lineRule="auto"/>
              <w:jc w:val="right"/>
              <w:rPr>
                <w:rFonts w:asciiTheme="minorHAnsi" w:hAnsiTheme="minorHAnsi" w:cstheme="minorHAnsi"/>
                <w:color w:val="000000"/>
                <w:sz w:val="16"/>
                <w:szCs w:val="16"/>
              </w:rPr>
            </w:pPr>
          </w:p>
        </w:tc>
        <w:tc>
          <w:tcPr>
            <w:tcW w:w="1195" w:type="dxa"/>
            <w:tcBorders>
              <w:top w:val="nil"/>
              <w:left w:val="nil"/>
              <w:bottom w:val="nil"/>
              <w:right w:val="nil"/>
            </w:tcBorders>
            <w:noWrap/>
            <w:vAlign w:val="bottom"/>
          </w:tcPr>
          <w:p w:rsidR="00531E17" w:rsidRPr="006D0DA3" w:rsidRDefault="00531E17" w:rsidP="001D4BCA">
            <w:pPr>
              <w:spacing w:after="0" w:line="240" w:lineRule="auto"/>
              <w:jc w:val="right"/>
              <w:rPr>
                <w:rFonts w:asciiTheme="minorHAnsi" w:hAnsiTheme="minorHAnsi" w:cstheme="minorHAnsi"/>
                <w:color w:val="000000"/>
                <w:sz w:val="16"/>
                <w:szCs w:val="16"/>
              </w:rPr>
            </w:pPr>
          </w:p>
        </w:tc>
      </w:tr>
      <w:tr w:rsidR="00531E17" w:rsidRPr="006D0DA3" w:rsidTr="00531E17">
        <w:trPr>
          <w:trHeight w:val="227"/>
        </w:trPr>
        <w:tc>
          <w:tcPr>
            <w:tcW w:w="3635" w:type="dxa"/>
            <w:tcBorders>
              <w:top w:val="nil"/>
              <w:left w:val="nil"/>
              <w:bottom w:val="nil"/>
              <w:right w:val="nil"/>
            </w:tcBorders>
            <w:noWrap/>
            <w:vAlign w:val="bottom"/>
          </w:tcPr>
          <w:p w:rsidR="00531E17" w:rsidRPr="006D0DA3" w:rsidRDefault="00531E17"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Share option</w:t>
            </w:r>
            <w:r w:rsidR="00320DEA" w:rsidRPr="006D0DA3">
              <w:rPr>
                <w:rFonts w:asciiTheme="minorHAnsi" w:hAnsiTheme="minorHAnsi" w:cstheme="minorHAnsi"/>
                <w:color w:val="000000"/>
                <w:sz w:val="16"/>
                <w:szCs w:val="16"/>
              </w:rPr>
              <w:t xml:space="preserve"> granted under</w:t>
            </w:r>
            <w:r w:rsidR="0010547F" w:rsidRPr="006D0DA3">
              <w:rPr>
                <w:rFonts w:asciiTheme="minorHAnsi" w:hAnsiTheme="minorHAnsi" w:cstheme="minorHAnsi"/>
                <w:color w:val="000000"/>
                <w:sz w:val="16"/>
                <w:szCs w:val="16"/>
              </w:rPr>
              <w:t xml:space="preserve"> the</w:t>
            </w:r>
            <w:r w:rsidR="00320DEA" w:rsidRPr="006D0DA3">
              <w:rPr>
                <w:rFonts w:asciiTheme="minorHAnsi" w:hAnsiTheme="minorHAnsi" w:cstheme="minorHAnsi"/>
                <w:color w:val="000000"/>
                <w:sz w:val="16"/>
                <w:szCs w:val="16"/>
              </w:rPr>
              <w:t xml:space="preserve"> SIS</w:t>
            </w:r>
          </w:p>
        </w:tc>
        <w:tc>
          <w:tcPr>
            <w:tcW w:w="1433" w:type="dxa"/>
            <w:tcBorders>
              <w:top w:val="nil"/>
              <w:left w:val="nil"/>
              <w:bottom w:val="nil"/>
              <w:right w:val="nil"/>
            </w:tcBorders>
            <w:noWrap/>
            <w:vAlign w:val="bottom"/>
          </w:tcPr>
          <w:p w:rsidR="00531E17" w:rsidRPr="006D0DA3" w:rsidRDefault="00E57CC4"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907" w:type="dxa"/>
            <w:tcBorders>
              <w:top w:val="nil"/>
              <w:left w:val="nil"/>
              <w:bottom w:val="nil"/>
              <w:right w:val="nil"/>
            </w:tcBorders>
            <w:noWrap/>
            <w:vAlign w:val="bottom"/>
          </w:tcPr>
          <w:p w:rsidR="00531E17" w:rsidRPr="006D0DA3" w:rsidRDefault="00E57CC4" w:rsidP="00DB6C8F">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522" w:type="dxa"/>
            <w:tcBorders>
              <w:top w:val="nil"/>
              <w:left w:val="nil"/>
              <w:bottom w:val="nil"/>
              <w:right w:val="nil"/>
            </w:tcBorders>
            <w:noWrap/>
            <w:vAlign w:val="bottom"/>
          </w:tcPr>
          <w:p w:rsidR="00531E17" w:rsidRPr="006D0DA3" w:rsidRDefault="00E57CC4"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06" w:type="dxa"/>
            <w:tcBorders>
              <w:top w:val="nil"/>
              <w:left w:val="nil"/>
              <w:bottom w:val="nil"/>
              <w:right w:val="nil"/>
            </w:tcBorders>
          </w:tcPr>
          <w:p w:rsidR="00531E17" w:rsidRPr="006D0DA3" w:rsidRDefault="007D226A"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6,537</w:t>
            </w:r>
          </w:p>
        </w:tc>
        <w:tc>
          <w:tcPr>
            <w:tcW w:w="1420" w:type="dxa"/>
            <w:tcBorders>
              <w:top w:val="nil"/>
              <w:left w:val="nil"/>
              <w:bottom w:val="nil"/>
              <w:right w:val="nil"/>
            </w:tcBorders>
            <w:noWrap/>
            <w:vAlign w:val="bottom"/>
          </w:tcPr>
          <w:p w:rsidR="00531E17" w:rsidRPr="006D0DA3" w:rsidRDefault="00E57CC4"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08" w:type="dxa"/>
            <w:tcBorders>
              <w:top w:val="nil"/>
              <w:left w:val="nil"/>
              <w:bottom w:val="nil"/>
              <w:right w:val="nil"/>
            </w:tcBorders>
            <w:noWrap/>
            <w:vAlign w:val="bottom"/>
          </w:tcPr>
          <w:p w:rsidR="00531E17" w:rsidRPr="006D0DA3" w:rsidRDefault="007D226A" w:rsidP="001D4BCA">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6,537</w:t>
            </w:r>
          </w:p>
        </w:tc>
        <w:tc>
          <w:tcPr>
            <w:tcW w:w="1139" w:type="dxa"/>
            <w:tcBorders>
              <w:top w:val="nil"/>
              <w:left w:val="nil"/>
              <w:bottom w:val="nil"/>
              <w:right w:val="nil"/>
            </w:tcBorders>
            <w:noWrap/>
            <w:vAlign w:val="bottom"/>
          </w:tcPr>
          <w:p w:rsidR="00531E17" w:rsidRPr="006D0DA3" w:rsidRDefault="00E57CC4"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195" w:type="dxa"/>
            <w:tcBorders>
              <w:top w:val="nil"/>
              <w:left w:val="nil"/>
              <w:bottom w:val="nil"/>
              <w:right w:val="nil"/>
            </w:tcBorders>
            <w:noWrap/>
            <w:vAlign w:val="bottom"/>
          </w:tcPr>
          <w:p w:rsidR="00531E17" w:rsidRPr="006D0DA3" w:rsidRDefault="007C385B" w:rsidP="001D4BCA">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6,537</w:t>
            </w:r>
          </w:p>
        </w:tc>
      </w:tr>
      <w:tr w:rsidR="00531E17" w:rsidRPr="006D0DA3" w:rsidTr="00531E17">
        <w:trPr>
          <w:trHeight w:val="227"/>
        </w:trPr>
        <w:tc>
          <w:tcPr>
            <w:tcW w:w="3635" w:type="dxa"/>
            <w:tcBorders>
              <w:top w:val="nil"/>
              <w:left w:val="nil"/>
              <w:bottom w:val="nil"/>
              <w:right w:val="nil"/>
            </w:tcBorders>
            <w:noWrap/>
            <w:vAlign w:val="bottom"/>
          </w:tcPr>
          <w:p w:rsidR="00531E17" w:rsidRPr="006D0DA3" w:rsidRDefault="00531E17" w:rsidP="00223B18">
            <w:pPr>
              <w:spacing w:after="0" w:line="240" w:lineRule="auto"/>
              <w:rPr>
                <w:rFonts w:asciiTheme="minorHAnsi" w:hAnsiTheme="minorHAnsi" w:cstheme="minorHAnsi"/>
                <w:color w:val="000000"/>
                <w:sz w:val="16"/>
                <w:szCs w:val="16"/>
              </w:rPr>
            </w:pPr>
          </w:p>
        </w:tc>
        <w:tc>
          <w:tcPr>
            <w:tcW w:w="1433" w:type="dxa"/>
            <w:tcBorders>
              <w:top w:val="nil"/>
              <w:left w:val="nil"/>
              <w:bottom w:val="nil"/>
              <w:right w:val="nil"/>
            </w:tcBorders>
            <w:noWrap/>
            <w:vAlign w:val="bottom"/>
          </w:tcPr>
          <w:p w:rsidR="00531E17" w:rsidRPr="006D0DA3" w:rsidRDefault="00531E17" w:rsidP="00223B18">
            <w:pPr>
              <w:spacing w:after="0" w:line="240" w:lineRule="auto"/>
              <w:jc w:val="right"/>
              <w:rPr>
                <w:rFonts w:asciiTheme="minorHAnsi" w:hAnsiTheme="minorHAnsi" w:cstheme="minorHAnsi"/>
                <w:color w:val="000000"/>
                <w:sz w:val="16"/>
                <w:szCs w:val="16"/>
              </w:rPr>
            </w:pPr>
          </w:p>
        </w:tc>
        <w:tc>
          <w:tcPr>
            <w:tcW w:w="907" w:type="dxa"/>
            <w:tcBorders>
              <w:top w:val="nil"/>
              <w:left w:val="nil"/>
              <w:bottom w:val="nil"/>
              <w:right w:val="nil"/>
            </w:tcBorders>
            <w:noWrap/>
            <w:vAlign w:val="bottom"/>
          </w:tcPr>
          <w:p w:rsidR="00531E17" w:rsidRPr="006D0DA3" w:rsidRDefault="00531E17" w:rsidP="00DB6C8F">
            <w:pPr>
              <w:spacing w:after="0" w:line="240" w:lineRule="auto"/>
              <w:jc w:val="right"/>
              <w:rPr>
                <w:rFonts w:asciiTheme="minorHAnsi" w:hAnsiTheme="minorHAnsi" w:cstheme="minorHAnsi"/>
                <w:color w:val="000000"/>
                <w:sz w:val="16"/>
                <w:szCs w:val="16"/>
              </w:rPr>
            </w:pPr>
          </w:p>
        </w:tc>
        <w:tc>
          <w:tcPr>
            <w:tcW w:w="1522" w:type="dxa"/>
            <w:tcBorders>
              <w:top w:val="nil"/>
              <w:left w:val="nil"/>
              <w:bottom w:val="nil"/>
              <w:right w:val="nil"/>
            </w:tcBorders>
            <w:noWrap/>
            <w:vAlign w:val="bottom"/>
          </w:tcPr>
          <w:p w:rsidR="00531E17" w:rsidRPr="006D0DA3" w:rsidRDefault="00531E17" w:rsidP="00223B18">
            <w:pPr>
              <w:spacing w:after="0" w:line="240" w:lineRule="auto"/>
              <w:jc w:val="right"/>
              <w:rPr>
                <w:rFonts w:asciiTheme="minorHAnsi" w:hAnsiTheme="minorHAnsi" w:cstheme="minorHAnsi"/>
                <w:color w:val="000000"/>
                <w:sz w:val="16"/>
                <w:szCs w:val="16"/>
              </w:rPr>
            </w:pPr>
          </w:p>
        </w:tc>
        <w:tc>
          <w:tcPr>
            <w:tcW w:w="1306" w:type="dxa"/>
            <w:tcBorders>
              <w:top w:val="nil"/>
              <w:left w:val="nil"/>
              <w:bottom w:val="nil"/>
              <w:right w:val="nil"/>
            </w:tcBorders>
          </w:tcPr>
          <w:p w:rsidR="00531E17" w:rsidRPr="006D0DA3" w:rsidRDefault="00531E17" w:rsidP="00223B18">
            <w:pPr>
              <w:spacing w:after="0" w:line="240" w:lineRule="auto"/>
              <w:jc w:val="right"/>
              <w:rPr>
                <w:rFonts w:asciiTheme="minorHAnsi" w:hAnsiTheme="minorHAnsi" w:cstheme="minorHAnsi"/>
                <w:color w:val="000000"/>
                <w:sz w:val="16"/>
                <w:szCs w:val="16"/>
              </w:rPr>
            </w:pPr>
          </w:p>
        </w:tc>
        <w:tc>
          <w:tcPr>
            <w:tcW w:w="1420" w:type="dxa"/>
            <w:tcBorders>
              <w:top w:val="nil"/>
              <w:left w:val="nil"/>
              <w:bottom w:val="nil"/>
              <w:right w:val="nil"/>
            </w:tcBorders>
            <w:noWrap/>
            <w:vAlign w:val="bottom"/>
          </w:tcPr>
          <w:p w:rsidR="00531E17" w:rsidRPr="006D0DA3" w:rsidRDefault="00531E17" w:rsidP="00223B18">
            <w:pPr>
              <w:spacing w:after="0" w:line="240" w:lineRule="auto"/>
              <w:jc w:val="right"/>
              <w:rPr>
                <w:rFonts w:asciiTheme="minorHAnsi" w:hAnsiTheme="minorHAnsi" w:cstheme="minorHAnsi"/>
                <w:color w:val="000000"/>
                <w:sz w:val="16"/>
                <w:szCs w:val="16"/>
              </w:rPr>
            </w:pPr>
          </w:p>
        </w:tc>
        <w:tc>
          <w:tcPr>
            <w:tcW w:w="1308" w:type="dxa"/>
            <w:tcBorders>
              <w:top w:val="nil"/>
              <w:left w:val="nil"/>
              <w:bottom w:val="nil"/>
              <w:right w:val="nil"/>
            </w:tcBorders>
            <w:noWrap/>
            <w:vAlign w:val="bottom"/>
          </w:tcPr>
          <w:p w:rsidR="00531E17" w:rsidRPr="006D0DA3" w:rsidRDefault="00531E17" w:rsidP="001D4BCA">
            <w:pPr>
              <w:spacing w:after="0" w:line="240" w:lineRule="auto"/>
              <w:jc w:val="right"/>
              <w:rPr>
                <w:rFonts w:asciiTheme="minorHAnsi" w:hAnsiTheme="minorHAnsi" w:cstheme="minorHAnsi"/>
                <w:color w:val="000000"/>
                <w:sz w:val="16"/>
                <w:szCs w:val="16"/>
              </w:rPr>
            </w:pPr>
          </w:p>
        </w:tc>
        <w:tc>
          <w:tcPr>
            <w:tcW w:w="1139" w:type="dxa"/>
            <w:tcBorders>
              <w:top w:val="nil"/>
              <w:left w:val="nil"/>
              <w:bottom w:val="nil"/>
              <w:right w:val="nil"/>
            </w:tcBorders>
            <w:noWrap/>
            <w:vAlign w:val="bottom"/>
          </w:tcPr>
          <w:p w:rsidR="00531E17" w:rsidRPr="006D0DA3" w:rsidRDefault="00531E17" w:rsidP="00223B18">
            <w:pPr>
              <w:spacing w:after="0" w:line="240" w:lineRule="auto"/>
              <w:jc w:val="right"/>
              <w:rPr>
                <w:rFonts w:asciiTheme="minorHAnsi" w:hAnsiTheme="minorHAnsi" w:cstheme="minorHAnsi"/>
                <w:color w:val="000000"/>
                <w:sz w:val="16"/>
                <w:szCs w:val="16"/>
              </w:rPr>
            </w:pPr>
          </w:p>
        </w:tc>
        <w:tc>
          <w:tcPr>
            <w:tcW w:w="1195" w:type="dxa"/>
            <w:tcBorders>
              <w:top w:val="nil"/>
              <w:left w:val="nil"/>
              <w:bottom w:val="nil"/>
              <w:right w:val="nil"/>
            </w:tcBorders>
            <w:noWrap/>
            <w:vAlign w:val="bottom"/>
          </w:tcPr>
          <w:p w:rsidR="00531E17" w:rsidRPr="006D0DA3" w:rsidRDefault="00531E17" w:rsidP="001D4BCA">
            <w:pPr>
              <w:spacing w:after="0" w:line="240" w:lineRule="auto"/>
              <w:jc w:val="right"/>
              <w:rPr>
                <w:rFonts w:asciiTheme="minorHAnsi" w:hAnsiTheme="minorHAnsi" w:cstheme="minorHAnsi"/>
                <w:color w:val="000000"/>
                <w:sz w:val="16"/>
                <w:szCs w:val="16"/>
              </w:rPr>
            </w:pPr>
          </w:p>
        </w:tc>
      </w:tr>
      <w:tr w:rsidR="00531E17" w:rsidRPr="006D0DA3" w:rsidTr="00531E17">
        <w:trPr>
          <w:trHeight w:val="227"/>
        </w:trPr>
        <w:tc>
          <w:tcPr>
            <w:tcW w:w="3635" w:type="dxa"/>
            <w:tcBorders>
              <w:top w:val="nil"/>
              <w:left w:val="nil"/>
              <w:bottom w:val="nil"/>
              <w:right w:val="nil"/>
            </w:tcBorders>
            <w:noWrap/>
            <w:vAlign w:val="bottom"/>
          </w:tcPr>
          <w:p w:rsidR="00531E17" w:rsidRDefault="00FB7A79" w:rsidP="00A95B96">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Issuance of ordinary s</w:t>
            </w:r>
            <w:r w:rsidR="00320DEA" w:rsidRPr="006D0DA3">
              <w:rPr>
                <w:rFonts w:asciiTheme="minorHAnsi" w:hAnsiTheme="minorHAnsi" w:cstheme="minorHAnsi"/>
                <w:color w:val="000000"/>
                <w:sz w:val="16"/>
                <w:szCs w:val="16"/>
              </w:rPr>
              <w:t xml:space="preserve">hares pursuant to </w:t>
            </w:r>
            <w:r w:rsidRPr="006D0DA3">
              <w:rPr>
                <w:rFonts w:asciiTheme="minorHAnsi" w:hAnsiTheme="minorHAnsi" w:cstheme="minorHAnsi"/>
                <w:color w:val="000000"/>
                <w:sz w:val="16"/>
                <w:szCs w:val="16"/>
              </w:rPr>
              <w:t>S</w:t>
            </w:r>
            <w:r w:rsidR="00320DEA" w:rsidRPr="006D0DA3">
              <w:rPr>
                <w:rFonts w:asciiTheme="minorHAnsi" w:hAnsiTheme="minorHAnsi" w:cstheme="minorHAnsi"/>
                <w:color w:val="000000"/>
                <w:sz w:val="16"/>
                <w:szCs w:val="16"/>
              </w:rPr>
              <w:t>IS</w:t>
            </w:r>
          </w:p>
          <w:p w:rsidR="00A95B96" w:rsidRPr="00A95B96" w:rsidRDefault="00A95B96" w:rsidP="00A95B96">
            <w:pPr>
              <w:pStyle w:val="ListParagraph"/>
              <w:numPr>
                <w:ilvl w:val="0"/>
                <w:numId w:val="37"/>
              </w:numPr>
              <w:ind w:left="177" w:hanging="180"/>
              <w:rPr>
                <w:rFonts w:asciiTheme="minorHAnsi" w:hAnsiTheme="minorHAnsi" w:cstheme="minorHAnsi"/>
                <w:color w:val="000000"/>
                <w:sz w:val="16"/>
                <w:szCs w:val="16"/>
              </w:rPr>
            </w:pPr>
            <w:r w:rsidRPr="006D0DA3">
              <w:rPr>
                <w:rFonts w:asciiTheme="minorHAnsi" w:hAnsiTheme="minorHAnsi" w:cstheme="minorHAnsi"/>
                <w:color w:val="000000"/>
                <w:sz w:val="16"/>
                <w:szCs w:val="16"/>
              </w:rPr>
              <w:t>at premium</w:t>
            </w:r>
          </w:p>
        </w:tc>
        <w:tc>
          <w:tcPr>
            <w:tcW w:w="1433" w:type="dxa"/>
            <w:tcBorders>
              <w:top w:val="nil"/>
              <w:left w:val="nil"/>
              <w:bottom w:val="nil"/>
              <w:right w:val="nil"/>
            </w:tcBorders>
            <w:noWrap/>
            <w:vAlign w:val="bottom"/>
          </w:tcPr>
          <w:p w:rsidR="00531E17" w:rsidRPr="006D0DA3" w:rsidRDefault="00794515" w:rsidP="00223B18">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4,739</w:t>
            </w:r>
          </w:p>
        </w:tc>
        <w:tc>
          <w:tcPr>
            <w:tcW w:w="907" w:type="dxa"/>
            <w:tcBorders>
              <w:top w:val="nil"/>
              <w:left w:val="nil"/>
              <w:bottom w:val="nil"/>
              <w:right w:val="nil"/>
            </w:tcBorders>
            <w:noWrap/>
            <w:vAlign w:val="bottom"/>
          </w:tcPr>
          <w:p w:rsidR="00531E17" w:rsidRPr="006D0DA3" w:rsidRDefault="00794515" w:rsidP="00794515">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1,346</w:t>
            </w:r>
          </w:p>
        </w:tc>
        <w:tc>
          <w:tcPr>
            <w:tcW w:w="1522" w:type="dxa"/>
            <w:tcBorders>
              <w:top w:val="nil"/>
              <w:left w:val="nil"/>
              <w:bottom w:val="nil"/>
              <w:right w:val="nil"/>
            </w:tcBorders>
            <w:noWrap/>
            <w:vAlign w:val="bottom"/>
          </w:tcPr>
          <w:p w:rsidR="00531E17" w:rsidRPr="006D0DA3" w:rsidRDefault="00FB7A79"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06" w:type="dxa"/>
            <w:tcBorders>
              <w:top w:val="nil"/>
              <w:left w:val="nil"/>
              <w:bottom w:val="nil"/>
              <w:right w:val="nil"/>
            </w:tcBorders>
          </w:tcPr>
          <w:p w:rsidR="00531E17" w:rsidRPr="006D0DA3" w:rsidRDefault="00531E17" w:rsidP="00223B18">
            <w:pPr>
              <w:spacing w:after="0" w:line="240" w:lineRule="auto"/>
              <w:jc w:val="right"/>
              <w:rPr>
                <w:rFonts w:asciiTheme="minorHAnsi" w:hAnsiTheme="minorHAnsi" w:cstheme="minorHAnsi"/>
                <w:color w:val="000000"/>
                <w:sz w:val="16"/>
                <w:szCs w:val="16"/>
              </w:rPr>
            </w:pPr>
          </w:p>
          <w:p w:rsidR="00FB7A79" w:rsidRPr="006D0DA3" w:rsidRDefault="00493DDC" w:rsidP="00D436AE">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794515">
              <w:rPr>
                <w:rFonts w:asciiTheme="minorHAnsi" w:hAnsiTheme="minorHAnsi" w:cstheme="minorHAnsi"/>
                <w:color w:val="000000"/>
                <w:sz w:val="16"/>
                <w:szCs w:val="16"/>
              </w:rPr>
              <w:t>8</w:t>
            </w:r>
            <w:r w:rsidRPr="006D0DA3">
              <w:rPr>
                <w:rFonts w:asciiTheme="minorHAnsi" w:hAnsiTheme="minorHAnsi" w:cstheme="minorHAnsi"/>
                <w:color w:val="000000"/>
                <w:sz w:val="16"/>
                <w:szCs w:val="16"/>
              </w:rPr>
              <w:t>7</w:t>
            </w:r>
            <w:r w:rsidR="00D436AE">
              <w:rPr>
                <w:rFonts w:asciiTheme="minorHAnsi" w:hAnsiTheme="minorHAnsi" w:cstheme="minorHAnsi"/>
                <w:color w:val="000000"/>
                <w:sz w:val="16"/>
                <w:szCs w:val="16"/>
              </w:rPr>
              <w:t>2</w:t>
            </w:r>
            <w:r w:rsidR="00E57CC4" w:rsidRPr="006D0DA3">
              <w:rPr>
                <w:rFonts w:asciiTheme="minorHAnsi" w:hAnsiTheme="minorHAnsi" w:cstheme="minorHAnsi"/>
                <w:color w:val="000000"/>
                <w:sz w:val="16"/>
                <w:szCs w:val="16"/>
              </w:rPr>
              <w:t>)</w:t>
            </w:r>
          </w:p>
        </w:tc>
        <w:tc>
          <w:tcPr>
            <w:tcW w:w="1420" w:type="dxa"/>
            <w:tcBorders>
              <w:top w:val="nil"/>
              <w:left w:val="nil"/>
              <w:bottom w:val="nil"/>
              <w:right w:val="nil"/>
            </w:tcBorders>
            <w:noWrap/>
            <w:vAlign w:val="bottom"/>
          </w:tcPr>
          <w:p w:rsidR="00531E17" w:rsidRPr="006D0DA3" w:rsidRDefault="00FB7A79"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08" w:type="dxa"/>
            <w:tcBorders>
              <w:top w:val="nil"/>
              <w:left w:val="nil"/>
              <w:bottom w:val="nil"/>
              <w:right w:val="nil"/>
            </w:tcBorders>
            <w:noWrap/>
            <w:vAlign w:val="bottom"/>
          </w:tcPr>
          <w:p w:rsidR="00531E17" w:rsidRPr="006D0DA3" w:rsidRDefault="000761CA" w:rsidP="001D4BCA">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5,213</w:t>
            </w:r>
          </w:p>
        </w:tc>
        <w:tc>
          <w:tcPr>
            <w:tcW w:w="1139" w:type="dxa"/>
            <w:tcBorders>
              <w:top w:val="nil"/>
              <w:left w:val="nil"/>
              <w:bottom w:val="nil"/>
              <w:right w:val="nil"/>
            </w:tcBorders>
            <w:noWrap/>
            <w:vAlign w:val="bottom"/>
          </w:tcPr>
          <w:p w:rsidR="00531E17" w:rsidRPr="006D0DA3" w:rsidRDefault="00FB7A79"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195" w:type="dxa"/>
            <w:tcBorders>
              <w:top w:val="nil"/>
              <w:left w:val="nil"/>
              <w:bottom w:val="nil"/>
              <w:right w:val="nil"/>
            </w:tcBorders>
            <w:noWrap/>
            <w:vAlign w:val="bottom"/>
          </w:tcPr>
          <w:p w:rsidR="00531E17" w:rsidRPr="006D0DA3" w:rsidRDefault="007D6E86" w:rsidP="001D4BCA">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5,213</w:t>
            </w:r>
          </w:p>
        </w:tc>
      </w:tr>
      <w:tr w:rsidR="00D4448E" w:rsidRPr="006D0DA3" w:rsidTr="00531E17">
        <w:trPr>
          <w:trHeight w:val="227"/>
        </w:trPr>
        <w:tc>
          <w:tcPr>
            <w:tcW w:w="3635" w:type="dxa"/>
            <w:tcBorders>
              <w:top w:val="nil"/>
              <w:left w:val="nil"/>
              <w:bottom w:val="nil"/>
              <w:right w:val="nil"/>
            </w:tcBorders>
            <w:noWrap/>
            <w:vAlign w:val="bottom"/>
          </w:tcPr>
          <w:p w:rsidR="00D4448E" w:rsidRPr="00A95B96" w:rsidRDefault="00A95B96" w:rsidP="00A95B96">
            <w:pPr>
              <w:pStyle w:val="ListParagraph"/>
              <w:numPr>
                <w:ilvl w:val="0"/>
                <w:numId w:val="37"/>
              </w:numPr>
              <w:ind w:left="177" w:hanging="180"/>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Pr="00A95B96">
              <w:rPr>
                <w:rFonts w:asciiTheme="minorHAnsi" w:hAnsiTheme="minorHAnsi" w:cstheme="minorHAnsi"/>
                <w:color w:val="000000"/>
                <w:sz w:val="16"/>
                <w:szCs w:val="16"/>
              </w:rPr>
              <w:t xml:space="preserve">at par </w:t>
            </w:r>
          </w:p>
        </w:tc>
        <w:tc>
          <w:tcPr>
            <w:tcW w:w="1433" w:type="dxa"/>
            <w:tcBorders>
              <w:top w:val="nil"/>
              <w:left w:val="nil"/>
              <w:bottom w:val="nil"/>
              <w:right w:val="nil"/>
            </w:tcBorders>
            <w:noWrap/>
            <w:vAlign w:val="bottom"/>
          </w:tcPr>
          <w:p w:rsidR="00D4448E" w:rsidRPr="006D0DA3" w:rsidRDefault="00A95B96" w:rsidP="00223B18">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2,700</w:t>
            </w:r>
          </w:p>
        </w:tc>
        <w:tc>
          <w:tcPr>
            <w:tcW w:w="907" w:type="dxa"/>
            <w:tcBorders>
              <w:top w:val="nil"/>
              <w:left w:val="nil"/>
              <w:bottom w:val="nil"/>
              <w:right w:val="nil"/>
            </w:tcBorders>
            <w:noWrap/>
            <w:vAlign w:val="bottom"/>
          </w:tcPr>
          <w:p w:rsidR="00D4448E" w:rsidRPr="006D0DA3" w:rsidRDefault="00D4448E" w:rsidP="00DB6C8F">
            <w:pPr>
              <w:spacing w:after="0" w:line="240" w:lineRule="auto"/>
              <w:jc w:val="right"/>
              <w:rPr>
                <w:rFonts w:asciiTheme="minorHAnsi" w:hAnsiTheme="minorHAnsi" w:cstheme="minorHAnsi"/>
                <w:color w:val="000000"/>
                <w:sz w:val="16"/>
                <w:szCs w:val="16"/>
              </w:rPr>
            </w:pPr>
          </w:p>
        </w:tc>
        <w:tc>
          <w:tcPr>
            <w:tcW w:w="1522" w:type="dxa"/>
            <w:tcBorders>
              <w:top w:val="nil"/>
              <w:left w:val="nil"/>
              <w:bottom w:val="nil"/>
              <w:right w:val="nil"/>
            </w:tcBorders>
            <w:noWrap/>
            <w:vAlign w:val="bottom"/>
          </w:tcPr>
          <w:p w:rsidR="00D4448E" w:rsidRPr="006D0DA3" w:rsidRDefault="00D4448E" w:rsidP="00223B18">
            <w:pPr>
              <w:spacing w:after="0" w:line="240" w:lineRule="auto"/>
              <w:jc w:val="right"/>
              <w:rPr>
                <w:rFonts w:asciiTheme="minorHAnsi" w:hAnsiTheme="minorHAnsi" w:cstheme="minorHAnsi"/>
                <w:color w:val="000000"/>
                <w:sz w:val="16"/>
                <w:szCs w:val="16"/>
              </w:rPr>
            </w:pPr>
          </w:p>
        </w:tc>
        <w:tc>
          <w:tcPr>
            <w:tcW w:w="1306" w:type="dxa"/>
            <w:tcBorders>
              <w:top w:val="nil"/>
              <w:left w:val="nil"/>
              <w:bottom w:val="nil"/>
              <w:right w:val="nil"/>
            </w:tcBorders>
          </w:tcPr>
          <w:p w:rsidR="00D4448E" w:rsidRPr="006D0DA3" w:rsidRDefault="00D4448E" w:rsidP="00223B18">
            <w:pPr>
              <w:spacing w:after="0" w:line="240" w:lineRule="auto"/>
              <w:jc w:val="right"/>
              <w:rPr>
                <w:rFonts w:asciiTheme="minorHAnsi" w:hAnsiTheme="minorHAnsi" w:cstheme="minorHAnsi"/>
                <w:color w:val="000000"/>
                <w:sz w:val="16"/>
                <w:szCs w:val="16"/>
              </w:rPr>
            </w:pPr>
          </w:p>
        </w:tc>
        <w:tc>
          <w:tcPr>
            <w:tcW w:w="1420" w:type="dxa"/>
            <w:tcBorders>
              <w:top w:val="nil"/>
              <w:left w:val="nil"/>
              <w:bottom w:val="nil"/>
              <w:right w:val="nil"/>
            </w:tcBorders>
            <w:noWrap/>
            <w:vAlign w:val="bottom"/>
          </w:tcPr>
          <w:p w:rsidR="00D4448E" w:rsidRPr="006D0DA3" w:rsidRDefault="00D4448E" w:rsidP="00223B18">
            <w:pPr>
              <w:spacing w:after="0" w:line="240" w:lineRule="auto"/>
              <w:jc w:val="right"/>
              <w:rPr>
                <w:rFonts w:asciiTheme="minorHAnsi" w:hAnsiTheme="minorHAnsi" w:cstheme="minorHAnsi"/>
                <w:color w:val="000000"/>
                <w:sz w:val="16"/>
                <w:szCs w:val="16"/>
              </w:rPr>
            </w:pPr>
          </w:p>
        </w:tc>
        <w:tc>
          <w:tcPr>
            <w:tcW w:w="1308" w:type="dxa"/>
            <w:tcBorders>
              <w:top w:val="nil"/>
              <w:left w:val="nil"/>
              <w:bottom w:val="nil"/>
              <w:right w:val="nil"/>
            </w:tcBorders>
            <w:noWrap/>
            <w:vAlign w:val="bottom"/>
          </w:tcPr>
          <w:p w:rsidR="00D4448E" w:rsidRPr="006D0DA3" w:rsidRDefault="00F64687" w:rsidP="001D4BCA">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2,700</w:t>
            </w:r>
          </w:p>
        </w:tc>
        <w:tc>
          <w:tcPr>
            <w:tcW w:w="1139" w:type="dxa"/>
            <w:tcBorders>
              <w:top w:val="nil"/>
              <w:left w:val="nil"/>
              <w:bottom w:val="nil"/>
              <w:right w:val="nil"/>
            </w:tcBorders>
            <w:noWrap/>
            <w:vAlign w:val="bottom"/>
          </w:tcPr>
          <w:p w:rsidR="00D4448E" w:rsidRPr="006D0DA3" w:rsidRDefault="00F64687" w:rsidP="00223B18">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195" w:type="dxa"/>
            <w:tcBorders>
              <w:top w:val="nil"/>
              <w:left w:val="nil"/>
              <w:bottom w:val="nil"/>
              <w:right w:val="nil"/>
            </w:tcBorders>
            <w:noWrap/>
            <w:vAlign w:val="bottom"/>
          </w:tcPr>
          <w:p w:rsidR="00D4448E" w:rsidRPr="006D0DA3" w:rsidRDefault="00F64687" w:rsidP="001D4BCA">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2,700</w:t>
            </w:r>
          </w:p>
        </w:tc>
      </w:tr>
      <w:tr w:rsidR="00D4448E" w:rsidRPr="006D0DA3" w:rsidTr="00531E17">
        <w:trPr>
          <w:trHeight w:val="227"/>
        </w:trPr>
        <w:tc>
          <w:tcPr>
            <w:tcW w:w="3635" w:type="dxa"/>
            <w:tcBorders>
              <w:top w:val="nil"/>
              <w:left w:val="nil"/>
              <w:bottom w:val="nil"/>
              <w:right w:val="nil"/>
            </w:tcBorders>
            <w:noWrap/>
            <w:vAlign w:val="bottom"/>
          </w:tcPr>
          <w:p w:rsidR="00D4448E" w:rsidRPr="006D0DA3" w:rsidRDefault="00D4448E"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Share issuance expenses</w:t>
            </w:r>
          </w:p>
        </w:tc>
        <w:tc>
          <w:tcPr>
            <w:tcW w:w="1433" w:type="dxa"/>
            <w:tcBorders>
              <w:top w:val="nil"/>
              <w:left w:val="nil"/>
              <w:bottom w:val="nil"/>
              <w:right w:val="nil"/>
            </w:tcBorders>
            <w:noWrap/>
            <w:vAlign w:val="bottom"/>
          </w:tcPr>
          <w:p w:rsidR="00D4448E" w:rsidRPr="006D0DA3" w:rsidRDefault="00D4448E"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907" w:type="dxa"/>
            <w:tcBorders>
              <w:top w:val="nil"/>
              <w:left w:val="nil"/>
              <w:bottom w:val="nil"/>
              <w:right w:val="nil"/>
            </w:tcBorders>
            <w:noWrap/>
            <w:vAlign w:val="bottom"/>
          </w:tcPr>
          <w:p w:rsidR="00D4448E" w:rsidRPr="006D0DA3" w:rsidRDefault="00D4448E" w:rsidP="00DB6C8F">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(23)</w:t>
            </w:r>
          </w:p>
        </w:tc>
        <w:tc>
          <w:tcPr>
            <w:tcW w:w="1522" w:type="dxa"/>
            <w:tcBorders>
              <w:top w:val="nil"/>
              <w:left w:val="nil"/>
              <w:bottom w:val="nil"/>
              <w:right w:val="nil"/>
            </w:tcBorders>
            <w:noWrap/>
            <w:vAlign w:val="bottom"/>
          </w:tcPr>
          <w:p w:rsidR="00D4448E" w:rsidRPr="006D0DA3" w:rsidRDefault="00D4448E"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06" w:type="dxa"/>
            <w:tcBorders>
              <w:top w:val="nil"/>
              <w:left w:val="nil"/>
              <w:bottom w:val="nil"/>
              <w:right w:val="nil"/>
            </w:tcBorders>
          </w:tcPr>
          <w:p w:rsidR="00D4448E" w:rsidRPr="006D0DA3" w:rsidRDefault="00D4448E"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420" w:type="dxa"/>
            <w:tcBorders>
              <w:top w:val="nil"/>
              <w:left w:val="nil"/>
              <w:bottom w:val="nil"/>
              <w:right w:val="nil"/>
            </w:tcBorders>
            <w:noWrap/>
            <w:vAlign w:val="bottom"/>
          </w:tcPr>
          <w:p w:rsidR="00D4448E" w:rsidRPr="006D0DA3" w:rsidRDefault="00D4448E"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08" w:type="dxa"/>
            <w:tcBorders>
              <w:top w:val="nil"/>
              <w:left w:val="nil"/>
              <w:bottom w:val="nil"/>
              <w:right w:val="nil"/>
            </w:tcBorders>
            <w:noWrap/>
            <w:vAlign w:val="bottom"/>
          </w:tcPr>
          <w:p w:rsidR="00D4448E" w:rsidRPr="006D0DA3" w:rsidRDefault="00D4448E" w:rsidP="001D4BCA">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(23)</w:t>
            </w:r>
          </w:p>
        </w:tc>
        <w:tc>
          <w:tcPr>
            <w:tcW w:w="1139" w:type="dxa"/>
            <w:tcBorders>
              <w:top w:val="nil"/>
              <w:left w:val="nil"/>
              <w:bottom w:val="nil"/>
              <w:right w:val="nil"/>
            </w:tcBorders>
            <w:noWrap/>
            <w:vAlign w:val="bottom"/>
          </w:tcPr>
          <w:p w:rsidR="00D4448E" w:rsidRPr="006D0DA3" w:rsidRDefault="00D4448E"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195" w:type="dxa"/>
            <w:tcBorders>
              <w:top w:val="nil"/>
              <w:left w:val="nil"/>
              <w:bottom w:val="nil"/>
              <w:right w:val="nil"/>
            </w:tcBorders>
            <w:noWrap/>
            <w:vAlign w:val="bottom"/>
          </w:tcPr>
          <w:p w:rsidR="00D4448E" w:rsidRPr="006D0DA3" w:rsidRDefault="00D4448E" w:rsidP="001D4BCA">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(23)</w:t>
            </w:r>
          </w:p>
        </w:tc>
      </w:tr>
      <w:tr w:rsidR="00D67C17" w:rsidRPr="006D0DA3" w:rsidTr="00531E17">
        <w:trPr>
          <w:trHeight w:val="227"/>
        </w:trPr>
        <w:tc>
          <w:tcPr>
            <w:tcW w:w="3635" w:type="dxa"/>
            <w:tcBorders>
              <w:top w:val="nil"/>
              <w:left w:val="nil"/>
              <w:bottom w:val="nil"/>
              <w:right w:val="nil"/>
            </w:tcBorders>
            <w:noWrap/>
            <w:vAlign w:val="bottom"/>
          </w:tcPr>
          <w:p w:rsidR="00D67C17" w:rsidRPr="006D0DA3" w:rsidRDefault="00D67C17" w:rsidP="00223B18">
            <w:pPr>
              <w:spacing w:after="0" w:line="240" w:lineRule="auto"/>
              <w:rPr>
                <w:rFonts w:asciiTheme="minorHAnsi" w:hAnsiTheme="minorHAnsi" w:cstheme="minorHAnsi"/>
                <w:color w:val="000000"/>
                <w:sz w:val="16"/>
                <w:szCs w:val="16"/>
              </w:rPr>
            </w:pPr>
          </w:p>
        </w:tc>
        <w:tc>
          <w:tcPr>
            <w:tcW w:w="1433" w:type="dxa"/>
            <w:tcBorders>
              <w:top w:val="nil"/>
              <w:left w:val="nil"/>
              <w:bottom w:val="nil"/>
              <w:right w:val="nil"/>
            </w:tcBorders>
            <w:noWrap/>
            <w:vAlign w:val="bottom"/>
          </w:tcPr>
          <w:p w:rsidR="00D67C17" w:rsidRPr="006D0DA3" w:rsidRDefault="00D67C17" w:rsidP="00223B18">
            <w:pPr>
              <w:spacing w:after="0" w:line="240" w:lineRule="auto"/>
              <w:jc w:val="right"/>
              <w:rPr>
                <w:rFonts w:asciiTheme="minorHAnsi" w:hAnsiTheme="minorHAnsi" w:cstheme="minorHAnsi"/>
                <w:color w:val="000000"/>
                <w:sz w:val="16"/>
                <w:szCs w:val="16"/>
              </w:rPr>
            </w:pPr>
          </w:p>
        </w:tc>
        <w:tc>
          <w:tcPr>
            <w:tcW w:w="907" w:type="dxa"/>
            <w:tcBorders>
              <w:top w:val="nil"/>
              <w:left w:val="nil"/>
              <w:bottom w:val="nil"/>
              <w:right w:val="nil"/>
            </w:tcBorders>
            <w:noWrap/>
            <w:vAlign w:val="bottom"/>
          </w:tcPr>
          <w:p w:rsidR="00D67C17" w:rsidRPr="006D0DA3" w:rsidRDefault="00D67C17" w:rsidP="00DB6C8F">
            <w:pPr>
              <w:spacing w:after="0" w:line="240" w:lineRule="auto"/>
              <w:jc w:val="right"/>
              <w:rPr>
                <w:rFonts w:asciiTheme="minorHAnsi" w:hAnsiTheme="minorHAnsi" w:cstheme="minorHAnsi"/>
                <w:color w:val="000000"/>
                <w:sz w:val="16"/>
                <w:szCs w:val="16"/>
              </w:rPr>
            </w:pPr>
          </w:p>
        </w:tc>
        <w:tc>
          <w:tcPr>
            <w:tcW w:w="1522" w:type="dxa"/>
            <w:tcBorders>
              <w:top w:val="nil"/>
              <w:left w:val="nil"/>
              <w:bottom w:val="nil"/>
              <w:right w:val="nil"/>
            </w:tcBorders>
            <w:noWrap/>
            <w:vAlign w:val="bottom"/>
          </w:tcPr>
          <w:p w:rsidR="00D67C17" w:rsidRPr="006D0DA3" w:rsidRDefault="00D67C17" w:rsidP="00223B18">
            <w:pPr>
              <w:spacing w:after="0" w:line="240" w:lineRule="auto"/>
              <w:jc w:val="right"/>
              <w:rPr>
                <w:rFonts w:asciiTheme="minorHAnsi" w:hAnsiTheme="minorHAnsi" w:cstheme="minorHAnsi"/>
                <w:color w:val="000000"/>
                <w:sz w:val="16"/>
                <w:szCs w:val="16"/>
              </w:rPr>
            </w:pPr>
          </w:p>
        </w:tc>
        <w:tc>
          <w:tcPr>
            <w:tcW w:w="1306" w:type="dxa"/>
            <w:tcBorders>
              <w:top w:val="nil"/>
              <w:left w:val="nil"/>
              <w:bottom w:val="nil"/>
              <w:right w:val="nil"/>
            </w:tcBorders>
          </w:tcPr>
          <w:p w:rsidR="00D67C17" w:rsidRPr="006D0DA3" w:rsidRDefault="00D67C17" w:rsidP="00223B18">
            <w:pPr>
              <w:spacing w:after="0" w:line="240" w:lineRule="auto"/>
              <w:jc w:val="right"/>
              <w:rPr>
                <w:rFonts w:asciiTheme="minorHAnsi" w:hAnsiTheme="minorHAnsi" w:cstheme="minorHAnsi"/>
                <w:color w:val="000000"/>
                <w:sz w:val="16"/>
                <w:szCs w:val="16"/>
              </w:rPr>
            </w:pPr>
          </w:p>
        </w:tc>
        <w:tc>
          <w:tcPr>
            <w:tcW w:w="1420" w:type="dxa"/>
            <w:tcBorders>
              <w:top w:val="nil"/>
              <w:left w:val="nil"/>
              <w:bottom w:val="nil"/>
              <w:right w:val="nil"/>
            </w:tcBorders>
            <w:noWrap/>
            <w:vAlign w:val="bottom"/>
          </w:tcPr>
          <w:p w:rsidR="00D67C17" w:rsidRPr="006D0DA3" w:rsidRDefault="00D67C17" w:rsidP="00223B18">
            <w:pPr>
              <w:spacing w:after="0" w:line="240" w:lineRule="auto"/>
              <w:jc w:val="right"/>
              <w:rPr>
                <w:rFonts w:asciiTheme="minorHAnsi" w:hAnsiTheme="minorHAnsi" w:cstheme="minorHAnsi"/>
                <w:color w:val="000000"/>
                <w:sz w:val="16"/>
                <w:szCs w:val="16"/>
              </w:rPr>
            </w:pPr>
          </w:p>
        </w:tc>
        <w:tc>
          <w:tcPr>
            <w:tcW w:w="1308" w:type="dxa"/>
            <w:tcBorders>
              <w:top w:val="nil"/>
              <w:left w:val="nil"/>
              <w:bottom w:val="nil"/>
              <w:right w:val="nil"/>
            </w:tcBorders>
            <w:noWrap/>
            <w:vAlign w:val="bottom"/>
          </w:tcPr>
          <w:p w:rsidR="00D67C17" w:rsidRPr="006D0DA3" w:rsidRDefault="00D67C17" w:rsidP="001D4BCA">
            <w:pPr>
              <w:spacing w:after="0" w:line="240" w:lineRule="auto"/>
              <w:jc w:val="right"/>
              <w:rPr>
                <w:rFonts w:asciiTheme="minorHAnsi" w:hAnsiTheme="minorHAnsi" w:cstheme="minorHAnsi"/>
                <w:color w:val="000000"/>
                <w:sz w:val="16"/>
                <w:szCs w:val="16"/>
              </w:rPr>
            </w:pPr>
          </w:p>
        </w:tc>
        <w:tc>
          <w:tcPr>
            <w:tcW w:w="1139" w:type="dxa"/>
            <w:tcBorders>
              <w:top w:val="nil"/>
              <w:left w:val="nil"/>
              <w:bottom w:val="nil"/>
              <w:right w:val="nil"/>
            </w:tcBorders>
            <w:noWrap/>
            <w:vAlign w:val="bottom"/>
          </w:tcPr>
          <w:p w:rsidR="00D67C17" w:rsidRPr="006D0DA3" w:rsidRDefault="00D67C17" w:rsidP="00223B18">
            <w:pPr>
              <w:spacing w:after="0" w:line="240" w:lineRule="auto"/>
              <w:jc w:val="right"/>
              <w:rPr>
                <w:rFonts w:asciiTheme="minorHAnsi" w:hAnsiTheme="minorHAnsi" w:cstheme="minorHAnsi"/>
                <w:color w:val="000000"/>
                <w:sz w:val="16"/>
                <w:szCs w:val="16"/>
              </w:rPr>
            </w:pPr>
          </w:p>
        </w:tc>
        <w:tc>
          <w:tcPr>
            <w:tcW w:w="1195" w:type="dxa"/>
            <w:tcBorders>
              <w:top w:val="nil"/>
              <w:left w:val="nil"/>
              <w:bottom w:val="nil"/>
              <w:right w:val="nil"/>
            </w:tcBorders>
            <w:noWrap/>
            <w:vAlign w:val="bottom"/>
          </w:tcPr>
          <w:p w:rsidR="00D67C17" w:rsidRPr="006D0DA3" w:rsidRDefault="00D67C17" w:rsidP="001D4BCA">
            <w:pPr>
              <w:spacing w:after="0" w:line="240" w:lineRule="auto"/>
              <w:jc w:val="right"/>
              <w:rPr>
                <w:rFonts w:asciiTheme="minorHAnsi" w:hAnsiTheme="minorHAnsi" w:cstheme="minorHAnsi"/>
                <w:color w:val="000000"/>
                <w:sz w:val="16"/>
                <w:szCs w:val="16"/>
              </w:rPr>
            </w:pPr>
          </w:p>
        </w:tc>
      </w:tr>
      <w:tr w:rsidR="00D67C17" w:rsidRPr="006D0DA3" w:rsidTr="00531E17">
        <w:trPr>
          <w:trHeight w:val="227"/>
        </w:trPr>
        <w:tc>
          <w:tcPr>
            <w:tcW w:w="3635" w:type="dxa"/>
            <w:tcBorders>
              <w:top w:val="nil"/>
              <w:left w:val="nil"/>
              <w:bottom w:val="nil"/>
              <w:right w:val="nil"/>
            </w:tcBorders>
            <w:noWrap/>
            <w:vAlign w:val="bottom"/>
          </w:tcPr>
          <w:p w:rsidR="00D67C17" w:rsidRPr="006D0DA3" w:rsidRDefault="00C40CAC" w:rsidP="00C40CAC">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Adjustment on d</w:t>
            </w:r>
            <w:r w:rsidR="00D67C17" w:rsidRPr="006D0DA3">
              <w:rPr>
                <w:rFonts w:asciiTheme="minorHAnsi" w:hAnsiTheme="minorHAnsi" w:cstheme="minorHAnsi"/>
                <w:color w:val="000000"/>
                <w:sz w:val="16"/>
                <w:szCs w:val="16"/>
              </w:rPr>
              <w:t>isposal</w:t>
            </w:r>
            <w:r w:rsidR="00C04237">
              <w:rPr>
                <w:rFonts w:asciiTheme="minorHAnsi" w:hAnsiTheme="minorHAnsi" w:cstheme="minorHAnsi"/>
                <w:color w:val="000000"/>
                <w:sz w:val="16"/>
                <w:szCs w:val="16"/>
              </w:rPr>
              <w:t xml:space="preserve">/de-consolidation </w:t>
            </w:r>
            <w:r w:rsidR="00D67C17" w:rsidRPr="006D0DA3">
              <w:rPr>
                <w:rFonts w:asciiTheme="minorHAnsi" w:hAnsiTheme="minorHAnsi" w:cstheme="minorHAnsi"/>
                <w:color w:val="000000"/>
                <w:sz w:val="16"/>
                <w:szCs w:val="16"/>
              </w:rPr>
              <w:t xml:space="preserve"> of subsidiary</w:t>
            </w:r>
          </w:p>
        </w:tc>
        <w:tc>
          <w:tcPr>
            <w:tcW w:w="1433" w:type="dxa"/>
            <w:tcBorders>
              <w:top w:val="nil"/>
              <w:left w:val="nil"/>
              <w:bottom w:val="nil"/>
              <w:right w:val="nil"/>
            </w:tcBorders>
            <w:noWrap/>
            <w:vAlign w:val="bottom"/>
          </w:tcPr>
          <w:p w:rsidR="00D67C17" w:rsidRPr="006D0DA3" w:rsidRDefault="00D67C17"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907" w:type="dxa"/>
            <w:tcBorders>
              <w:top w:val="nil"/>
              <w:left w:val="nil"/>
              <w:bottom w:val="nil"/>
              <w:right w:val="nil"/>
            </w:tcBorders>
            <w:noWrap/>
            <w:vAlign w:val="bottom"/>
          </w:tcPr>
          <w:p w:rsidR="00D67C17" w:rsidRPr="006D0DA3" w:rsidRDefault="00D67C17" w:rsidP="00DB6C8F">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522" w:type="dxa"/>
            <w:tcBorders>
              <w:top w:val="nil"/>
              <w:left w:val="nil"/>
              <w:bottom w:val="nil"/>
              <w:right w:val="nil"/>
            </w:tcBorders>
            <w:noWrap/>
            <w:vAlign w:val="bottom"/>
          </w:tcPr>
          <w:p w:rsidR="00D67C17" w:rsidRPr="006D0DA3" w:rsidRDefault="007408DE" w:rsidP="00BB16C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75</w:t>
            </w:r>
            <w:r w:rsidR="00BB16C6">
              <w:rPr>
                <w:rFonts w:asciiTheme="minorHAnsi" w:hAnsiTheme="minorHAnsi" w:cstheme="minorHAnsi"/>
                <w:color w:val="000000"/>
                <w:sz w:val="16"/>
                <w:szCs w:val="16"/>
              </w:rPr>
              <w:t>5</w:t>
            </w:r>
          </w:p>
        </w:tc>
        <w:tc>
          <w:tcPr>
            <w:tcW w:w="1306" w:type="dxa"/>
            <w:tcBorders>
              <w:top w:val="nil"/>
              <w:left w:val="nil"/>
              <w:bottom w:val="nil"/>
              <w:right w:val="nil"/>
            </w:tcBorders>
          </w:tcPr>
          <w:p w:rsidR="00D67C17" w:rsidRPr="006D0DA3" w:rsidRDefault="00D67C17"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420" w:type="dxa"/>
            <w:tcBorders>
              <w:top w:val="nil"/>
              <w:left w:val="nil"/>
              <w:bottom w:val="nil"/>
              <w:right w:val="nil"/>
            </w:tcBorders>
            <w:noWrap/>
            <w:vAlign w:val="bottom"/>
          </w:tcPr>
          <w:p w:rsidR="00D67C17" w:rsidRPr="006D0DA3" w:rsidRDefault="00D67C17" w:rsidP="00223B18">
            <w:pPr>
              <w:spacing w:after="0" w:line="240" w:lineRule="auto"/>
              <w:jc w:val="right"/>
              <w:rPr>
                <w:rFonts w:asciiTheme="minorHAnsi" w:hAnsiTheme="minorHAnsi" w:cstheme="minorHAnsi"/>
                <w:color w:val="000000"/>
                <w:sz w:val="16"/>
                <w:szCs w:val="16"/>
              </w:rPr>
            </w:pPr>
          </w:p>
        </w:tc>
        <w:tc>
          <w:tcPr>
            <w:tcW w:w="1308" w:type="dxa"/>
            <w:tcBorders>
              <w:top w:val="nil"/>
              <w:left w:val="nil"/>
              <w:bottom w:val="nil"/>
              <w:right w:val="nil"/>
            </w:tcBorders>
            <w:noWrap/>
            <w:vAlign w:val="bottom"/>
          </w:tcPr>
          <w:p w:rsidR="00D67C17" w:rsidRPr="006D0DA3" w:rsidRDefault="007544B4" w:rsidP="00BB16C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75</w:t>
            </w:r>
            <w:r w:rsidR="00BB16C6">
              <w:rPr>
                <w:rFonts w:asciiTheme="minorHAnsi" w:hAnsiTheme="minorHAnsi" w:cstheme="minorHAnsi"/>
                <w:color w:val="000000"/>
                <w:sz w:val="16"/>
                <w:szCs w:val="16"/>
              </w:rPr>
              <w:t>5</w:t>
            </w:r>
          </w:p>
        </w:tc>
        <w:tc>
          <w:tcPr>
            <w:tcW w:w="1139" w:type="dxa"/>
            <w:tcBorders>
              <w:top w:val="nil"/>
              <w:left w:val="nil"/>
              <w:bottom w:val="nil"/>
              <w:right w:val="nil"/>
            </w:tcBorders>
            <w:noWrap/>
            <w:vAlign w:val="bottom"/>
          </w:tcPr>
          <w:p w:rsidR="00D67C17" w:rsidRPr="006D0DA3" w:rsidRDefault="00D67C17"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262</w:t>
            </w:r>
          </w:p>
        </w:tc>
        <w:tc>
          <w:tcPr>
            <w:tcW w:w="1195" w:type="dxa"/>
            <w:tcBorders>
              <w:top w:val="nil"/>
              <w:left w:val="nil"/>
              <w:bottom w:val="nil"/>
              <w:right w:val="nil"/>
            </w:tcBorders>
            <w:noWrap/>
            <w:vAlign w:val="bottom"/>
          </w:tcPr>
          <w:p w:rsidR="00D67C17" w:rsidRPr="006D0DA3" w:rsidRDefault="007408DE" w:rsidP="00BB16C6">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1,01</w:t>
            </w:r>
            <w:r w:rsidR="00BB16C6">
              <w:rPr>
                <w:rFonts w:asciiTheme="minorHAnsi" w:hAnsiTheme="minorHAnsi" w:cstheme="minorHAnsi"/>
                <w:color w:val="000000"/>
                <w:sz w:val="16"/>
                <w:szCs w:val="16"/>
              </w:rPr>
              <w:t>7</w:t>
            </w:r>
          </w:p>
        </w:tc>
      </w:tr>
      <w:tr w:rsidR="00277004" w:rsidRPr="006D0DA3" w:rsidTr="00531E17">
        <w:trPr>
          <w:trHeight w:val="227"/>
        </w:trPr>
        <w:tc>
          <w:tcPr>
            <w:tcW w:w="3635" w:type="dxa"/>
            <w:tcBorders>
              <w:top w:val="nil"/>
              <w:left w:val="nil"/>
              <w:bottom w:val="nil"/>
              <w:right w:val="nil"/>
            </w:tcBorders>
            <w:noWrap/>
            <w:vAlign w:val="bottom"/>
          </w:tcPr>
          <w:p w:rsidR="00A00BD1" w:rsidRPr="006D0DA3" w:rsidRDefault="00A00BD1" w:rsidP="00DA5466">
            <w:pPr>
              <w:spacing w:after="0" w:line="240" w:lineRule="auto"/>
              <w:rPr>
                <w:rFonts w:asciiTheme="minorHAnsi" w:hAnsiTheme="minorHAnsi" w:cstheme="minorHAnsi"/>
                <w:color w:val="000000"/>
                <w:sz w:val="16"/>
                <w:szCs w:val="16"/>
              </w:rPr>
            </w:pPr>
          </w:p>
          <w:p w:rsidR="00277004" w:rsidRPr="006D0DA3" w:rsidRDefault="00277004" w:rsidP="00FF6CA6">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Balance as at </w:t>
            </w:r>
            <w:r w:rsidR="001E6FD5" w:rsidRPr="006D0DA3">
              <w:rPr>
                <w:rFonts w:asciiTheme="minorHAnsi" w:hAnsiTheme="minorHAnsi" w:cstheme="minorHAnsi"/>
                <w:color w:val="000000"/>
                <w:sz w:val="16"/>
                <w:szCs w:val="16"/>
              </w:rPr>
              <w:t xml:space="preserve">31 </w:t>
            </w:r>
            <w:r w:rsidR="00FF6CA6">
              <w:rPr>
                <w:rFonts w:asciiTheme="minorHAnsi" w:hAnsiTheme="minorHAnsi" w:cstheme="minorHAnsi"/>
                <w:color w:val="000000"/>
                <w:sz w:val="16"/>
                <w:szCs w:val="16"/>
              </w:rPr>
              <w:t>March</w:t>
            </w:r>
            <w:r w:rsidR="001E6FD5" w:rsidRPr="006D0DA3">
              <w:rPr>
                <w:rFonts w:asciiTheme="minorHAnsi" w:hAnsiTheme="minorHAnsi" w:cstheme="minorHAnsi"/>
                <w:color w:val="000000"/>
                <w:sz w:val="16"/>
                <w:szCs w:val="16"/>
              </w:rPr>
              <w:t xml:space="preserve"> 201</w:t>
            </w:r>
            <w:r w:rsidR="00FF6CA6">
              <w:rPr>
                <w:rFonts w:asciiTheme="minorHAnsi" w:hAnsiTheme="minorHAnsi" w:cstheme="minorHAnsi"/>
                <w:color w:val="000000"/>
                <w:sz w:val="16"/>
                <w:szCs w:val="16"/>
              </w:rPr>
              <w:t>6</w:t>
            </w:r>
          </w:p>
        </w:tc>
        <w:tc>
          <w:tcPr>
            <w:tcW w:w="1433" w:type="dxa"/>
            <w:tcBorders>
              <w:top w:val="single" w:sz="4" w:space="0" w:color="auto"/>
              <w:left w:val="nil"/>
              <w:bottom w:val="double" w:sz="6" w:space="0" w:color="auto"/>
              <w:right w:val="nil"/>
            </w:tcBorders>
            <w:noWrap/>
            <w:vAlign w:val="bottom"/>
          </w:tcPr>
          <w:p w:rsidR="00277004" w:rsidRPr="006D0DA3" w:rsidRDefault="00794515" w:rsidP="00F6468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3</w:t>
            </w:r>
            <w:r w:rsidR="00F64687">
              <w:rPr>
                <w:rFonts w:asciiTheme="minorHAnsi" w:hAnsiTheme="minorHAnsi" w:cstheme="minorHAnsi"/>
                <w:color w:val="000000"/>
                <w:sz w:val="16"/>
                <w:szCs w:val="16"/>
              </w:rPr>
              <w:t>4,6</w:t>
            </w:r>
            <w:r>
              <w:rPr>
                <w:rFonts w:asciiTheme="minorHAnsi" w:hAnsiTheme="minorHAnsi" w:cstheme="minorHAnsi"/>
                <w:color w:val="000000"/>
                <w:sz w:val="16"/>
                <w:szCs w:val="16"/>
              </w:rPr>
              <w:t>76</w:t>
            </w:r>
          </w:p>
        </w:tc>
        <w:tc>
          <w:tcPr>
            <w:tcW w:w="907" w:type="dxa"/>
            <w:tcBorders>
              <w:top w:val="single" w:sz="4" w:space="0" w:color="auto"/>
              <w:left w:val="nil"/>
              <w:bottom w:val="double" w:sz="6" w:space="0" w:color="auto"/>
              <w:right w:val="nil"/>
            </w:tcBorders>
            <w:noWrap/>
            <w:vAlign w:val="bottom"/>
          </w:tcPr>
          <w:p w:rsidR="00277004" w:rsidRPr="006D0DA3" w:rsidRDefault="00D65B32" w:rsidP="00D436AE">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12</w:t>
            </w:r>
            <w:r w:rsidR="00A36039" w:rsidRPr="006D0DA3">
              <w:rPr>
                <w:rFonts w:asciiTheme="minorHAnsi" w:hAnsiTheme="minorHAnsi" w:cstheme="minorHAnsi"/>
                <w:color w:val="000000"/>
                <w:sz w:val="16"/>
                <w:szCs w:val="16"/>
              </w:rPr>
              <w:t>,</w:t>
            </w:r>
            <w:r w:rsidR="00794515">
              <w:rPr>
                <w:rFonts w:asciiTheme="minorHAnsi" w:hAnsiTheme="minorHAnsi" w:cstheme="minorHAnsi"/>
                <w:color w:val="000000"/>
                <w:sz w:val="16"/>
                <w:szCs w:val="16"/>
              </w:rPr>
              <w:t>40</w:t>
            </w:r>
            <w:r w:rsidR="00D436AE">
              <w:rPr>
                <w:rFonts w:asciiTheme="minorHAnsi" w:hAnsiTheme="minorHAnsi" w:cstheme="minorHAnsi"/>
                <w:color w:val="000000"/>
                <w:sz w:val="16"/>
                <w:szCs w:val="16"/>
              </w:rPr>
              <w:t>5</w:t>
            </w:r>
          </w:p>
        </w:tc>
        <w:tc>
          <w:tcPr>
            <w:tcW w:w="1522" w:type="dxa"/>
            <w:tcBorders>
              <w:top w:val="single" w:sz="4" w:space="0" w:color="auto"/>
              <w:left w:val="nil"/>
              <w:bottom w:val="double" w:sz="6" w:space="0" w:color="auto"/>
              <w:right w:val="nil"/>
            </w:tcBorders>
            <w:noWrap/>
            <w:vAlign w:val="bottom"/>
          </w:tcPr>
          <w:p w:rsidR="00277004" w:rsidRPr="006D0DA3" w:rsidRDefault="00BB16C6" w:rsidP="00C30939">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306" w:type="dxa"/>
            <w:tcBorders>
              <w:top w:val="single" w:sz="4" w:space="0" w:color="auto"/>
              <w:left w:val="nil"/>
              <w:bottom w:val="double" w:sz="6" w:space="0" w:color="auto"/>
              <w:right w:val="nil"/>
            </w:tcBorders>
          </w:tcPr>
          <w:p w:rsidR="00277004" w:rsidRPr="006D0DA3" w:rsidRDefault="00277004" w:rsidP="006729BA">
            <w:pPr>
              <w:spacing w:after="0" w:line="240" w:lineRule="auto"/>
              <w:jc w:val="right"/>
              <w:rPr>
                <w:rFonts w:asciiTheme="minorHAnsi" w:hAnsiTheme="minorHAnsi" w:cstheme="minorHAnsi"/>
                <w:color w:val="000000"/>
                <w:sz w:val="16"/>
                <w:szCs w:val="16"/>
              </w:rPr>
            </w:pPr>
          </w:p>
          <w:p w:rsidR="006E7B5D" w:rsidRPr="006D0DA3" w:rsidRDefault="00D436AE" w:rsidP="00794515">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5</w:t>
            </w:r>
            <w:r w:rsidR="001E06BF">
              <w:rPr>
                <w:rFonts w:asciiTheme="minorHAnsi" w:hAnsiTheme="minorHAnsi" w:cstheme="minorHAnsi"/>
                <w:color w:val="000000"/>
                <w:sz w:val="16"/>
                <w:szCs w:val="16"/>
              </w:rPr>
              <w:t>,</w:t>
            </w:r>
            <w:r>
              <w:rPr>
                <w:rFonts w:asciiTheme="minorHAnsi" w:hAnsiTheme="minorHAnsi" w:cstheme="minorHAnsi"/>
                <w:color w:val="000000"/>
                <w:sz w:val="16"/>
                <w:szCs w:val="16"/>
              </w:rPr>
              <w:t>665</w:t>
            </w:r>
          </w:p>
        </w:tc>
        <w:tc>
          <w:tcPr>
            <w:tcW w:w="1420" w:type="dxa"/>
            <w:tcBorders>
              <w:top w:val="single" w:sz="4" w:space="0" w:color="auto"/>
              <w:left w:val="nil"/>
              <w:bottom w:val="double" w:sz="6" w:space="0" w:color="auto"/>
              <w:right w:val="nil"/>
            </w:tcBorders>
            <w:noWrap/>
            <w:vAlign w:val="bottom"/>
          </w:tcPr>
          <w:p w:rsidR="00277004" w:rsidRPr="006D0DA3" w:rsidRDefault="00277004" w:rsidP="00A95B96">
            <w:pPr>
              <w:spacing w:after="0" w:line="240" w:lineRule="auto"/>
              <w:ind w:right="2"/>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6A62D5">
              <w:rPr>
                <w:rFonts w:asciiTheme="minorHAnsi" w:hAnsiTheme="minorHAnsi" w:cstheme="minorHAnsi"/>
                <w:color w:val="000000"/>
                <w:sz w:val="16"/>
                <w:szCs w:val="16"/>
              </w:rPr>
              <w:t>3</w:t>
            </w:r>
            <w:r w:rsidR="00A95B96">
              <w:rPr>
                <w:rFonts w:asciiTheme="minorHAnsi" w:hAnsiTheme="minorHAnsi" w:cstheme="minorHAnsi"/>
                <w:color w:val="000000"/>
                <w:sz w:val="16"/>
                <w:szCs w:val="16"/>
              </w:rPr>
              <w:t>4,188</w:t>
            </w:r>
            <w:r w:rsidRPr="006D0DA3">
              <w:rPr>
                <w:rFonts w:asciiTheme="minorHAnsi" w:hAnsiTheme="minorHAnsi" w:cstheme="minorHAnsi"/>
                <w:color w:val="000000"/>
                <w:sz w:val="16"/>
                <w:szCs w:val="16"/>
              </w:rPr>
              <w:t>)</w:t>
            </w:r>
          </w:p>
        </w:tc>
        <w:tc>
          <w:tcPr>
            <w:tcW w:w="1308" w:type="dxa"/>
            <w:tcBorders>
              <w:top w:val="single" w:sz="4" w:space="0" w:color="auto"/>
              <w:left w:val="nil"/>
              <w:bottom w:val="double" w:sz="6" w:space="0" w:color="auto"/>
              <w:right w:val="nil"/>
            </w:tcBorders>
            <w:noWrap/>
            <w:vAlign w:val="bottom"/>
          </w:tcPr>
          <w:p w:rsidR="00277004" w:rsidRPr="006D0DA3" w:rsidRDefault="000761CA" w:rsidP="00F6468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w:t>
            </w:r>
            <w:r w:rsidR="00F64687">
              <w:rPr>
                <w:rFonts w:asciiTheme="minorHAnsi" w:hAnsiTheme="minorHAnsi" w:cstheme="minorHAnsi"/>
                <w:color w:val="000000"/>
                <w:sz w:val="16"/>
                <w:szCs w:val="16"/>
              </w:rPr>
              <w:t>8,558</w:t>
            </w:r>
          </w:p>
        </w:tc>
        <w:tc>
          <w:tcPr>
            <w:tcW w:w="1139" w:type="dxa"/>
            <w:tcBorders>
              <w:top w:val="single" w:sz="4" w:space="0" w:color="auto"/>
              <w:left w:val="nil"/>
              <w:bottom w:val="double" w:sz="6" w:space="0" w:color="auto"/>
              <w:right w:val="nil"/>
            </w:tcBorders>
            <w:noWrap/>
            <w:vAlign w:val="bottom"/>
          </w:tcPr>
          <w:p w:rsidR="00277004" w:rsidRPr="006D0DA3" w:rsidRDefault="00A36039" w:rsidP="006729BA">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195" w:type="dxa"/>
            <w:tcBorders>
              <w:top w:val="single" w:sz="4" w:space="0" w:color="auto"/>
              <w:left w:val="nil"/>
              <w:bottom w:val="double" w:sz="6" w:space="0" w:color="auto"/>
              <w:right w:val="nil"/>
            </w:tcBorders>
            <w:noWrap/>
            <w:vAlign w:val="bottom"/>
          </w:tcPr>
          <w:p w:rsidR="00277004" w:rsidRPr="006D0DA3" w:rsidRDefault="006436DA" w:rsidP="00F64687">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w:t>
            </w:r>
            <w:r w:rsidR="00F64687">
              <w:rPr>
                <w:rFonts w:asciiTheme="minorHAnsi" w:hAnsiTheme="minorHAnsi" w:cstheme="minorHAnsi"/>
                <w:color w:val="000000"/>
                <w:sz w:val="16"/>
                <w:szCs w:val="16"/>
              </w:rPr>
              <w:t>8,558</w:t>
            </w:r>
          </w:p>
        </w:tc>
      </w:tr>
    </w:tbl>
    <w:p w:rsidR="00223B18" w:rsidRPr="006D0DA3" w:rsidRDefault="00223B18" w:rsidP="00223B18">
      <w:pPr>
        <w:autoSpaceDE w:val="0"/>
        <w:autoSpaceDN w:val="0"/>
        <w:adjustRightInd w:val="0"/>
        <w:spacing w:after="0" w:line="240" w:lineRule="auto"/>
        <w:rPr>
          <w:rFonts w:asciiTheme="minorHAnsi" w:hAnsiTheme="minorHAnsi" w:cstheme="minorHAnsi"/>
          <w:b/>
          <w:bCs/>
          <w:sz w:val="16"/>
          <w:szCs w:val="16"/>
        </w:rPr>
      </w:pPr>
    </w:p>
    <w:tbl>
      <w:tblPr>
        <w:tblW w:w="13850" w:type="dxa"/>
        <w:tblInd w:w="108" w:type="dxa"/>
        <w:tblLook w:val="00A0" w:firstRow="1" w:lastRow="0" w:firstColumn="1" w:lastColumn="0" w:noHBand="0" w:noVBand="0"/>
      </w:tblPr>
      <w:tblGrid>
        <w:gridCol w:w="3850"/>
        <w:gridCol w:w="1100"/>
        <w:gridCol w:w="990"/>
        <w:gridCol w:w="1530"/>
        <w:gridCol w:w="1353"/>
        <w:gridCol w:w="1347"/>
        <w:gridCol w:w="1346"/>
        <w:gridCol w:w="1134"/>
        <w:gridCol w:w="1200"/>
      </w:tblGrid>
      <w:tr w:rsidR="00277004" w:rsidRPr="006D0DA3" w:rsidTr="006B015B">
        <w:trPr>
          <w:trHeight w:val="227"/>
        </w:trPr>
        <w:tc>
          <w:tcPr>
            <w:tcW w:w="5940" w:type="dxa"/>
            <w:gridSpan w:val="3"/>
            <w:noWrap/>
          </w:tcPr>
          <w:p w:rsidR="00277004" w:rsidRPr="006D0DA3" w:rsidRDefault="00277004" w:rsidP="00E73B4D">
            <w:pPr>
              <w:spacing w:after="0" w:line="240" w:lineRule="auto"/>
              <w:rPr>
                <w:rFonts w:asciiTheme="minorHAnsi" w:hAnsiTheme="minorHAnsi" w:cstheme="minorHAnsi"/>
                <w:b/>
                <w:color w:val="000000"/>
                <w:sz w:val="16"/>
                <w:szCs w:val="16"/>
              </w:rPr>
            </w:pPr>
          </w:p>
          <w:p w:rsidR="00277004" w:rsidRPr="006D0DA3" w:rsidRDefault="00277004" w:rsidP="0047659D">
            <w:pPr>
              <w:spacing w:after="0" w:line="240" w:lineRule="auto"/>
              <w:rPr>
                <w:rFonts w:asciiTheme="minorHAnsi" w:hAnsiTheme="minorHAnsi" w:cstheme="minorHAnsi"/>
                <w:color w:val="000000"/>
                <w:sz w:val="16"/>
                <w:szCs w:val="16"/>
              </w:rPr>
            </w:pPr>
            <w:r w:rsidRPr="006D0DA3">
              <w:rPr>
                <w:rFonts w:asciiTheme="minorHAnsi" w:hAnsiTheme="minorHAnsi" w:cstheme="minorHAnsi"/>
                <w:b/>
                <w:color w:val="000000"/>
                <w:sz w:val="16"/>
                <w:szCs w:val="16"/>
              </w:rPr>
              <w:t>As at preceding period  ended 3</w:t>
            </w:r>
            <w:r w:rsidR="00CB444A">
              <w:rPr>
                <w:rFonts w:asciiTheme="minorHAnsi" w:hAnsiTheme="minorHAnsi" w:cstheme="minorHAnsi"/>
                <w:b/>
                <w:color w:val="000000"/>
                <w:sz w:val="16"/>
                <w:szCs w:val="16"/>
              </w:rPr>
              <w:t xml:space="preserve">1  </w:t>
            </w:r>
            <w:r w:rsidR="0047659D">
              <w:rPr>
                <w:rFonts w:asciiTheme="minorHAnsi" w:hAnsiTheme="minorHAnsi" w:cstheme="minorHAnsi"/>
                <w:b/>
                <w:color w:val="000000"/>
                <w:sz w:val="16"/>
                <w:szCs w:val="16"/>
              </w:rPr>
              <w:t>March</w:t>
            </w:r>
            <w:r w:rsidR="00CB444A">
              <w:rPr>
                <w:rFonts w:asciiTheme="minorHAnsi" w:hAnsiTheme="minorHAnsi" w:cstheme="minorHAnsi"/>
                <w:b/>
                <w:color w:val="000000"/>
                <w:sz w:val="16"/>
                <w:szCs w:val="16"/>
              </w:rPr>
              <w:t xml:space="preserve"> </w:t>
            </w:r>
            <w:r w:rsidRPr="006D0DA3">
              <w:rPr>
                <w:rFonts w:asciiTheme="minorHAnsi" w:hAnsiTheme="minorHAnsi" w:cstheme="minorHAnsi"/>
                <w:b/>
                <w:color w:val="000000"/>
                <w:sz w:val="16"/>
                <w:szCs w:val="16"/>
              </w:rPr>
              <w:t xml:space="preserve"> 201</w:t>
            </w:r>
            <w:r w:rsidR="0047659D">
              <w:rPr>
                <w:rFonts w:asciiTheme="minorHAnsi" w:hAnsiTheme="minorHAnsi" w:cstheme="minorHAnsi"/>
                <w:b/>
                <w:color w:val="000000"/>
                <w:sz w:val="16"/>
                <w:szCs w:val="16"/>
              </w:rPr>
              <w:t>5</w:t>
            </w:r>
          </w:p>
        </w:tc>
        <w:tc>
          <w:tcPr>
            <w:tcW w:w="1530" w:type="dxa"/>
            <w:noWrap/>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353" w:type="dxa"/>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347" w:type="dxa"/>
            <w:noWrap/>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346" w:type="dxa"/>
            <w:noWrap/>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134" w:type="dxa"/>
            <w:noWrap/>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200" w:type="dxa"/>
            <w:noWrap/>
          </w:tcPr>
          <w:p w:rsidR="00277004" w:rsidRPr="006D0DA3" w:rsidRDefault="00277004" w:rsidP="00223B18">
            <w:pPr>
              <w:spacing w:after="0" w:line="240" w:lineRule="auto"/>
              <w:jc w:val="right"/>
              <w:rPr>
                <w:rFonts w:asciiTheme="minorHAnsi" w:hAnsiTheme="minorHAnsi" w:cstheme="minorHAnsi"/>
                <w:color w:val="000000"/>
                <w:sz w:val="16"/>
                <w:szCs w:val="16"/>
              </w:rPr>
            </w:pPr>
          </w:p>
        </w:tc>
      </w:tr>
      <w:tr w:rsidR="00277004" w:rsidRPr="006D0DA3" w:rsidTr="006B015B">
        <w:trPr>
          <w:trHeight w:val="227"/>
        </w:trPr>
        <w:tc>
          <w:tcPr>
            <w:tcW w:w="3850" w:type="dxa"/>
            <w:tcBorders>
              <w:top w:val="nil"/>
              <w:left w:val="nil"/>
              <w:bottom w:val="nil"/>
              <w:right w:val="nil"/>
            </w:tcBorders>
            <w:noWrap/>
            <w:vAlign w:val="bottom"/>
          </w:tcPr>
          <w:p w:rsidR="00277004" w:rsidRPr="006D0DA3" w:rsidRDefault="00277004" w:rsidP="00223B18">
            <w:pPr>
              <w:spacing w:after="0" w:line="240" w:lineRule="auto"/>
              <w:rPr>
                <w:rFonts w:asciiTheme="minorHAnsi" w:hAnsiTheme="minorHAnsi" w:cstheme="minorHAnsi"/>
                <w:color w:val="000000"/>
                <w:sz w:val="16"/>
                <w:szCs w:val="16"/>
              </w:rPr>
            </w:pPr>
          </w:p>
        </w:tc>
        <w:tc>
          <w:tcPr>
            <w:tcW w:w="110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99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53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353" w:type="dxa"/>
            <w:tcBorders>
              <w:top w:val="nil"/>
              <w:left w:val="nil"/>
              <w:bottom w:val="nil"/>
              <w:right w:val="nil"/>
            </w:tcBorders>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347"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346"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134"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20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r>
      <w:tr w:rsidR="00277004" w:rsidRPr="006D0DA3" w:rsidTr="006B015B">
        <w:trPr>
          <w:trHeight w:val="227"/>
        </w:trPr>
        <w:tc>
          <w:tcPr>
            <w:tcW w:w="3850" w:type="dxa"/>
            <w:tcBorders>
              <w:top w:val="nil"/>
              <w:left w:val="nil"/>
              <w:bottom w:val="nil"/>
              <w:right w:val="nil"/>
            </w:tcBorders>
            <w:noWrap/>
            <w:vAlign w:val="bottom"/>
          </w:tcPr>
          <w:p w:rsidR="00277004" w:rsidRPr="006D0DA3" w:rsidRDefault="00277004" w:rsidP="00CB444A">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Balance as at 1 </w:t>
            </w:r>
            <w:r w:rsidR="00CB444A">
              <w:rPr>
                <w:rFonts w:asciiTheme="minorHAnsi" w:hAnsiTheme="minorHAnsi" w:cstheme="minorHAnsi"/>
                <w:color w:val="000000"/>
                <w:sz w:val="16"/>
                <w:szCs w:val="16"/>
              </w:rPr>
              <w:t xml:space="preserve">April </w:t>
            </w:r>
            <w:r w:rsidRPr="006D0DA3">
              <w:rPr>
                <w:rFonts w:asciiTheme="minorHAnsi" w:hAnsiTheme="minorHAnsi" w:cstheme="minorHAnsi"/>
                <w:color w:val="000000"/>
                <w:sz w:val="16"/>
                <w:szCs w:val="16"/>
              </w:rPr>
              <w:t xml:space="preserve"> 201</w:t>
            </w:r>
            <w:r w:rsidR="00CB444A">
              <w:rPr>
                <w:rFonts w:asciiTheme="minorHAnsi" w:hAnsiTheme="minorHAnsi" w:cstheme="minorHAnsi"/>
                <w:color w:val="000000"/>
                <w:sz w:val="16"/>
                <w:szCs w:val="16"/>
              </w:rPr>
              <w:t>4</w:t>
            </w:r>
          </w:p>
        </w:tc>
        <w:tc>
          <w:tcPr>
            <w:tcW w:w="1100" w:type="dxa"/>
            <w:tcBorders>
              <w:top w:val="nil"/>
              <w:left w:val="nil"/>
              <w:bottom w:val="nil"/>
              <w:right w:val="nil"/>
            </w:tcBorders>
            <w:noWrap/>
            <w:vAlign w:val="bottom"/>
          </w:tcPr>
          <w:p w:rsidR="00277004" w:rsidRPr="006D0DA3" w:rsidRDefault="00277004" w:rsidP="00E73B4D">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22,700 </w:t>
            </w:r>
          </w:p>
        </w:tc>
        <w:tc>
          <w:tcPr>
            <w:tcW w:w="99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11,258</w:t>
            </w:r>
          </w:p>
        </w:tc>
        <w:tc>
          <w:tcPr>
            <w:tcW w:w="1530" w:type="dxa"/>
            <w:tcBorders>
              <w:top w:val="nil"/>
              <w:left w:val="nil"/>
              <w:bottom w:val="nil"/>
              <w:right w:val="nil"/>
            </w:tcBorders>
            <w:noWrap/>
            <w:vAlign w:val="bottom"/>
          </w:tcPr>
          <w:p w:rsidR="00277004" w:rsidRPr="006D0DA3" w:rsidRDefault="00277004" w:rsidP="006A3325">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4</w:t>
            </w:r>
          </w:p>
        </w:tc>
        <w:tc>
          <w:tcPr>
            <w:tcW w:w="1353" w:type="dxa"/>
            <w:tcBorders>
              <w:top w:val="nil"/>
              <w:left w:val="nil"/>
              <w:bottom w:val="nil"/>
              <w:right w:val="nil"/>
            </w:tcBorders>
          </w:tcPr>
          <w:p w:rsidR="00277004" w:rsidRPr="006D0DA3" w:rsidRDefault="00277004" w:rsidP="006A3325">
            <w:pPr>
              <w:spacing w:after="0" w:line="240" w:lineRule="auto"/>
              <w:jc w:val="right"/>
              <w:rPr>
                <w:rFonts w:asciiTheme="minorHAnsi" w:hAnsiTheme="minorHAnsi" w:cstheme="minorHAnsi"/>
                <w:color w:val="000000"/>
                <w:sz w:val="16"/>
                <w:szCs w:val="16"/>
              </w:rPr>
            </w:pPr>
          </w:p>
          <w:p w:rsidR="00FC48CD" w:rsidRPr="006D0DA3" w:rsidRDefault="00FC48CD" w:rsidP="006A3325">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47" w:type="dxa"/>
            <w:tcBorders>
              <w:top w:val="nil"/>
              <w:left w:val="nil"/>
              <w:bottom w:val="nil"/>
              <w:right w:val="nil"/>
            </w:tcBorders>
            <w:noWrap/>
            <w:vAlign w:val="bottom"/>
          </w:tcPr>
          <w:p w:rsidR="00277004" w:rsidRPr="006D0DA3" w:rsidRDefault="001A1102" w:rsidP="00FC48CD">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277004" w:rsidRPr="006D0DA3">
              <w:rPr>
                <w:rFonts w:asciiTheme="minorHAnsi" w:hAnsiTheme="minorHAnsi" w:cstheme="minorHAnsi"/>
                <w:color w:val="000000"/>
                <w:sz w:val="16"/>
                <w:szCs w:val="16"/>
              </w:rPr>
              <w:t>(9,833)</w:t>
            </w:r>
          </w:p>
        </w:tc>
        <w:tc>
          <w:tcPr>
            <w:tcW w:w="1346" w:type="dxa"/>
            <w:tcBorders>
              <w:top w:val="nil"/>
              <w:left w:val="nil"/>
              <w:bottom w:val="nil"/>
              <w:right w:val="nil"/>
            </w:tcBorders>
            <w:noWrap/>
            <w:vAlign w:val="bottom"/>
          </w:tcPr>
          <w:p w:rsidR="00277004" w:rsidRPr="006D0DA3" w:rsidRDefault="00277004" w:rsidP="006A3325">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24,129</w:t>
            </w:r>
          </w:p>
        </w:tc>
        <w:tc>
          <w:tcPr>
            <w:tcW w:w="1134" w:type="dxa"/>
            <w:tcBorders>
              <w:top w:val="nil"/>
              <w:left w:val="nil"/>
              <w:bottom w:val="nil"/>
              <w:right w:val="nil"/>
            </w:tcBorders>
            <w:noWrap/>
            <w:vAlign w:val="bottom"/>
          </w:tcPr>
          <w:p w:rsidR="00277004" w:rsidRPr="006D0DA3" w:rsidRDefault="00277004" w:rsidP="006A3325">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(48)</w:t>
            </w:r>
          </w:p>
        </w:tc>
        <w:tc>
          <w:tcPr>
            <w:tcW w:w="1200" w:type="dxa"/>
            <w:tcBorders>
              <w:top w:val="nil"/>
              <w:left w:val="nil"/>
              <w:bottom w:val="nil"/>
              <w:right w:val="nil"/>
            </w:tcBorders>
            <w:noWrap/>
            <w:vAlign w:val="bottom"/>
          </w:tcPr>
          <w:p w:rsidR="00277004" w:rsidRPr="006D0DA3" w:rsidRDefault="00277004" w:rsidP="006A3325">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24,081</w:t>
            </w:r>
          </w:p>
        </w:tc>
      </w:tr>
      <w:tr w:rsidR="00277004" w:rsidRPr="006D0DA3" w:rsidTr="006B015B">
        <w:trPr>
          <w:trHeight w:val="227"/>
        </w:trPr>
        <w:tc>
          <w:tcPr>
            <w:tcW w:w="3850" w:type="dxa"/>
            <w:tcBorders>
              <w:top w:val="nil"/>
              <w:left w:val="nil"/>
              <w:bottom w:val="nil"/>
              <w:right w:val="nil"/>
            </w:tcBorders>
            <w:noWrap/>
            <w:vAlign w:val="bottom"/>
          </w:tcPr>
          <w:p w:rsidR="00277004" w:rsidRPr="006D0DA3" w:rsidRDefault="00277004"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Total comprehensive income / (loss)</w:t>
            </w:r>
          </w:p>
        </w:tc>
        <w:tc>
          <w:tcPr>
            <w:tcW w:w="110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99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530" w:type="dxa"/>
            <w:tcBorders>
              <w:top w:val="nil"/>
              <w:left w:val="nil"/>
              <w:bottom w:val="nil"/>
              <w:right w:val="nil"/>
            </w:tcBorders>
            <w:noWrap/>
            <w:vAlign w:val="bottom"/>
          </w:tcPr>
          <w:p w:rsidR="00277004" w:rsidRPr="006D0DA3" w:rsidRDefault="001B3BCE" w:rsidP="005814BB">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5814BB">
              <w:rPr>
                <w:rFonts w:asciiTheme="minorHAnsi" w:hAnsiTheme="minorHAnsi" w:cstheme="minorHAnsi"/>
                <w:color w:val="000000"/>
                <w:sz w:val="16"/>
                <w:szCs w:val="16"/>
              </w:rPr>
              <w:t>225</w:t>
            </w:r>
            <w:r w:rsidRPr="006D0DA3">
              <w:rPr>
                <w:rFonts w:asciiTheme="minorHAnsi" w:hAnsiTheme="minorHAnsi" w:cstheme="minorHAnsi"/>
                <w:color w:val="000000"/>
                <w:sz w:val="16"/>
                <w:szCs w:val="16"/>
              </w:rPr>
              <w:t>)</w:t>
            </w:r>
          </w:p>
        </w:tc>
        <w:tc>
          <w:tcPr>
            <w:tcW w:w="1353" w:type="dxa"/>
            <w:tcBorders>
              <w:top w:val="nil"/>
              <w:left w:val="nil"/>
              <w:bottom w:val="nil"/>
              <w:right w:val="nil"/>
            </w:tcBorders>
          </w:tcPr>
          <w:p w:rsidR="00277004" w:rsidRPr="006D0DA3" w:rsidRDefault="00277004" w:rsidP="00F719EC">
            <w:pPr>
              <w:spacing w:after="0" w:line="240" w:lineRule="auto"/>
              <w:jc w:val="right"/>
              <w:rPr>
                <w:rFonts w:asciiTheme="minorHAnsi" w:hAnsiTheme="minorHAnsi" w:cstheme="minorHAnsi"/>
                <w:color w:val="000000"/>
                <w:sz w:val="16"/>
                <w:szCs w:val="16"/>
              </w:rPr>
            </w:pPr>
          </w:p>
          <w:p w:rsidR="00FC48CD" w:rsidRPr="006D0DA3" w:rsidRDefault="00FC48CD" w:rsidP="00F719EC">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47" w:type="dxa"/>
            <w:tcBorders>
              <w:top w:val="nil"/>
              <w:left w:val="nil"/>
              <w:bottom w:val="nil"/>
              <w:right w:val="nil"/>
            </w:tcBorders>
            <w:noWrap/>
            <w:vAlign w:val="bottom"/>
          </w:tcPr>
          <w:p w:rsidR="00277004" w:rsidRPr="006D0DA3" w:rsidRDefault="00056244" w:rsidP="005814BB">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005814BB">
              <w:rPr>
                <w:rFonts w:asciiTheme="minorHAnsi" w:hAnsiTheme="minorHAnsi" w:cstheme="minorHAnsi"/>
                <w:color w:val="000000"/>
                <w:sz w:val="16"/>
                <w:szCs w:val="16"/>
              </w:rPr>
              <w:t>9,950</w:t>
            </w:r>
            <w:r>
              <w:rPr>
                <w:rFonts w:asciiTheme="minorHAnsi" w:hAnsiTheme="minorHAnsi" w:cstheme="minorHAnsi"/>
                <w:color w:val="000000"/>
                <w:sz w:val="16"/>
                <w:szCs w:val="16"/>
              </w:rPr>
              <w:t>)</w:t>
            </w:r>
          </w:p>
        </w:tc>
        <w:tc>
          <w:tcPr>
            <w:tcW w:w="1346" w:type="dxa"/>
            <w:tcBorders>
              <w:top w:val="nil"/>
              <w:left w:val="nil"/>
              <w:bottom w:val="nil"/>
              <w:right w:val="nil"/>
            </w:tcBorders>
            <w:noWrap/>
            <w:vAlign w:val="bottom"/>
          </w:tcPr>
          <w:p w:rsidR="00277004" w:rsidRPr="006D0DA3" w:rsidRDefault="001B3BCE" w:rsidP="005814BB">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r w:rsidR="00056244">
              <w:rPr>
                <w:rFonts w:asciiTheme="minorHAnsi" w:hAnsiTheme="minorHAnsi" w:cstheme="minorHAnsi"/>
                <w:color w:val="000000"/>
                <w:sz w:val="16"/>
                <w:szCs w:val="16"/>
              </w:rPr>
              <w:t>10,</w:t>
            </w:r>
            <w:r w:rsidR="005814BB">
              <w:rPr>
                <w:rFonts w:asciiTheme="minorHAnsi" w:hAnsiTheme="minorHAnsi" w:cstheme="minorHAnsi"/>
                <w:color w:val="000000"/>
                <w:sz w:val="16"/>
                <w:szCs w:val="16"/>
              </w:rPr>
              <w:t>175</w:t>
            </w:r>
            <w:r w:rsidR="00277004" w:rsidRPr="006D0DA3">
              <w:rPr>
                <w:rFonts w:asciiTheme="minorHAnsi" w:hAnsiTheme="minorHAnsi" w:cstheme="minorHAnsi"/>
                <w:color w:val="000000"/>
                <w:sz w:val="16"/>
                <w:szCs w:val="16"/>
              </w:rPr>
              <w:t>)</w:t>
            </w:r>
          </w:p>
        </w:tc>
        <w:tc>
          <w:tcPr>
            <w:tcW w:w="1134" w:type="dxa"/>
            <w:tcBorders>
              <w:top w:val="nil"/>
              <w:left w:val="nil"/>
              <w:bottom w:val="nil"/>
              <w:right w:val="nil"/>
            </w:tcBorders>
            <w:noWrap/>
            <w:vAlign w:val="bottom"/>
          </w:tcPr>
          <w:p w:rsidR="00277004" w:rsidRPr="006D0DA3" w:rsidRDefault="00277004" w:rsidP="005814BB">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r w:rsidR="005814BB">
              <w:rPr>
                <w:rFonts w:asciiTheme="minorHAnsi" w:hAnsiTheme="minorHAnsi" w:cstheme="minorHAnsi"/>
                <w:color w:val="000000"/>
                <w:sz w:val="16"/>
                <w:szCs w:val="16"/>
              </w:rPr>
              <w:t>60</w:t>
            </w:r>
            <w:r w:rsidRPr="006D0DA3">
              <w:rPr>
                <w:rFonts w:asciiTheme="minorHAnsi" w:hAnsiTheme="minorHAnsi" w:cstheme="minorHAnsi"/>
                <w:color w:val="000000"/>
                <w:sz w:val="16"/>
                <w:szCs w:val="16"/>
              </w:rPr>
              <w:t>)</w:t>
            </w:r>
          </w:p>
        </w:tc>
        <w:tc>
          <w:tcPr>
            <w:tcW w:w="1200" w:type="dxa"/>
            <w:tcBorders>
              <w:top w:val="nil"/>
              <w:left w:val="nil"/>
              <w:bottom w:val="nil"/>
              <w:right w:val="nil"/>
            </w:tcBorders>
            <w:noWrap/>
            <w:vAlign w:val="bottom"/>
          </w:tcPr>
          <w:p w:rsidR="00277004" w:rsidRPr="006D0DA3" w:rsidRDefault="00277004" w:rsidP="005814BB">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r w:rsidR="00A97DC4">
              <w:rPr>
                <w:rFonts w:asciiTheme="minorHAnsi" w:hAnsiTheme="minorHAnsi" w:cstheme="minorHAnsi"/>
                <w:color w:val="000000"/>
                <w:sz w:val="16"/>
                <w:szCs w:val="16"/>
              </w:rPr>
              <w:t>10,</w:t>
            </w:r>
            <w:r w:rsidR="005814BB">
              <w:rPr>
                <w:rFonts w:asciiTheme="minorHAnsi" w:hAnsiTheme="minorHAnsi" w:cstheme="minorHAnsi"/>
                <w:color w:val="000000"/>
                <w:sz w:val="16"/>
                <w:szCs w:val="16"/>
              </w:rPr>
              <w:t>235</w:t>
            </w:r>
            <w:r w:rsidRPr="006D0DA3">
              <w:rPr>
                <w:rFonts w:asciiTheme="minorHAnsi" w:hAnsiTheme="minorHAnsi" w:cstheme="minorHAnsi"/>
                <w:color w:val="000000"/>
                <w:sz w:val="16"/>
                <w:szCs w:val="16"/>
              </w:rPr>
              <w:t>)</w:t>
            </w:r>
          </w:p>
        </w:tc>
      </w:tr>
      <w:tr w:rsidR="00277004" w:rsidRPr="006D0DA3" w:rsidTr="006B015B">
        <w:trPr>
          <w:trHeight w:val="227"/>
        </w:trPr>
        <w:tc>
          <w:tcPr>
            <w:tcW w:w="3850" w:type="dxa"/>
            <w:tcBorders>
              <w:top w:val="nil"/>
              <w:left w:val="nil"/>
              <w:bottom w:val="nil"/>
              <w:right w:val="nil"/>
            </w:tcBorders>
            <w:noWrap/>
            <w:vAlign w:val="bottom"/>
          </w:tcPr>
          <w:p w:rsidR="00277004" w:rsidRPr="006D0DA3" w:rsidRDefault="0060628B" w:rsidP="0060628B">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Other comprehensive income</w:t>
            </w:r>
          </w:p>
        </w:tc>
        <w:tc>
          <w:tcPr>
            <w:tcW w:w="110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990" w:type="dxa"/>
            <w:tcBorders>
              <w:top w:val="nil"/>
              <w:left w:val="nil"/>
              <w:bottom w:val="nil"/>
              <w:right w:val="nil"/>
            </w:tcBorders>
            <w:noWrap/>
            <w:vAlign w:val="bottom"/>
          </w:tcPr>
          <w:p w:rsidR="00277004" w:rsidRPr="006D0DA3" w:rsidRDefault="00277004" w:rsidP="00223B18">
            <w:pPr>
              <w:spacing w:after="0" w:line="240" w:lineRule="auto"/>
              <w:jc w:val="right"/>
              <w:rPr>
                <w:rFonts w:asciiTheme="minorHAnsi" w:hAnsiTheme="minorHAnsi" w:cstheme="minorHAnsi"/>
                <w:color w:val="000000"/>
                <w:sz w:val="16"/>
                <w:szCs w:val="16"/>
              </w:rPr>
            </w:pPr>
          </w:p>
        </w:tc>
        <w:tc>
          <w:tcPr>
            <w:tcW w:w="1530" w:type="dxa"/>
            <w:tcBorders>
              <w:top w:val="nil"/>
              <w:left w:val="nil"/>
              <w:bottom w:val="nil"/>
              <w:right w:val="nil"/>
            </w:tcBorders>
            <w:noWrap/>
            <w:vAlign w:val="bottom"/>
          </w:tcPr>
          <w:p w:rsidR="00277004" w:rsidRPr="006D0DA3" w:rsidRDefault="00277004" w:rsidP="00AF1671">
            <w:pPr>
              <w:spacing w:after="0" w:line="240" w:lineRule="auto"/>
              <w:jc w:val="right"/>
              <w:rPr>
                <w:rFonts w:asciiTheme="minorHAnsi" w:hAnsiTheme="minorHAnsi" w:cstheme="minorHAnsi"/>
                <w:color w:val="000000"/>
                <w:sz w:val="16"/>
                <w:szCs w:val="16"/>
              </w:rPr>
            </w:pPr>
          </w:p>
        </w:tc>
        <w:tc>
          <w:tcPr>
            <w:tcW w:w="1353" w:type="dxa"/>
            <w:tcBorders>
              <w:top w:val="nil"/>
              <w:left w:val="nil"/>
              <w:bottom w:val="nil"/>
              <w:right w:val="nil"/>
            </w:tcBorders>
          </w:tcPr>
          <w:p w:rsidR="00277004" w:rsidRPr="006D0DA3" w:rsidRDefault="00277004" w:rsidP="00F719EC">
            <w:pPr>
              <w:spacing w:after="0" w:line="240" w:lineRule="auto"/>
              <w:jc w:val="right"/>
              <w:rPr>
                <w:rFonts w:asciiTheme="minorHAnsi" w:hAnsiTheme="minorHAnsi" w:cstheme="minorHAnsi"/>
                <w:color w:val="000000"/>
                <w:sz w:val="16"/>
                <w:szCs w:val="16"/>
              </w:rPr>
            </w:pPr>
          </w:p>
        </w:tc>
        <w:tc>
          <w:tcPr>
            <w:tcW w:w="1347" w:type="dxa"/>
            <w:tcBorders>
              <w:top w:val="nil"/>
              <w:left w:val="nil"/>
              <w:bottom w:val="nil"/>
              <w:right w:val="nil"/>
            </w:tcBorders>
            <w:noWrap/>
            <w:vAlign w:val="bottom"/>
          </w:tcPr>
          <w:p w:rsidR="00277004" w:rsidRPr="006D0DA3" w:rsidRDefault="00277004" w:rsidP="00FC48CD">
            <w:pPr>
              <w:spacing w:after="0" w:line="240" w:lineRule="auto"/>
              <w:jc w:val="right"/>
              <w:rPr>
                <w:rFonts w:asciiTheme="minorHAnsi" w:hAnsiTheme="minorHAnsi" w:cstheme="minorHAnsi"/>
                <w:color w:val="000000"/>
                <w:sz w:val="16"/>
                <w:szCs w:val="16"/>
              </w:rPr>
            </w:pPr>
          </w:p>
        </w:tc>
        <w:tc>
          <w:tcPr>
            <w:tcW w:w="1346" w:type="dxa"/>
            <w:tcBorders>
              <w:top w:val="nil"/>
              <w:left w:val="nil"/>
              <w:bottom w:val="nil"/>
              <w:right w:val="nil"/>
            </w:tcBorders>
            <w:noWrap/>
            <w:vAlign w:val="bottom"/>
          </w:tcPr>
          <w:p w:rsidR="00277004" w:rsidRPr="006D0DA3" w:rsidRDefault="00277004" w:rsidP="00AF1671">
            <w:pPr>
              <w:spacing w:after="0" w:line="240" w:lineRule="auto"/>
              <w:jc w:val="right"/>
              <w:rPr>
                <w:rFonts w:asciiTheme="minorHAnsi" w:hAnsiTheme="minorHAnsi" w:cstheme="minorHAnsi"/>
                <w:color w:val="000000"/>
                <w:sz w:val="16"/>
                <w:szCs w:val="16"/>
              </w:rPr>
            </w:pPr>
          </w:p>
        </w:tc>
        <w:tc>
          <w:tcPr>
            <w:tcW w:w="1134" w:type="dxa"/>
            <w:tcBorders>
              <w:top w:val="nil"/>
              <w:left w:val="nil"/>
              <w:bottom w:val="nil"/>
              <w:right w:val="nil"/>
            </w:tcBorders>
            <w:noWrap/>
            <w:vAlign w:val="bottom"/>
          </w:tcPr>
          <w:p w:rsidR="00277004" w:rsidRPr="006D0DA3" w:rsidRDefault="00277004" w:rsidP="00F719EC">
            <w:pPr>
              <w:spacing w:after="0" w:line="240" w:lineRule="auto"/>
              <w:jc w:val="right"/>
              <w:rPr>
                <w:rFonts w:asciiTheme="minorHAnsi" w:hAnsiTheme="minorHAnsi" w:cstheme="minorHAnsi"/>
                <w:color w:val="000000"/>
                <w:sz w:val="16"/>
                <w:szCs w:val="16"/>
              </w:rPr>
            </w:pPr>
          </w:p>
        </w:tc>
        <w:tc>
          <w:tcPr>
            <w:tcW w:w="1200" w:type="dxa"/>
            <w:tcBorders>
              <w:top w:val="nil"/>
              <w:left w:val="nil"/>
              <w:bottom w:val="nil"/>
              <w:right w:val="nil"/>
            </w:tcBorders>
            <w:noWrap/>
            <w:vAlign w:val="bottom"/>
          </w:tcPr>
          <w:p w:rsidR="00277004" w:rsidRPr="006D0DA3" w:rsidRDefault="00277004" w:rsidP="00AF1671">
            <w:pPr>
              <w:spacing w:after="0" w:line="240" w:lineRule="auto"/>
              <w:jc w:val="right"/>
              <w:rPr>
                <w:rFonts w:asciiTheme="minorHAnsi" w:hAnsiTheme="minorHAnsi" w:cstheme="minorHAnsi"/>
                <w:color w:val="000000"/>
                <w:sz w:val="16"/>
                <w:szCs w:val="16"/>
              </w:rPr>
            </w:pPr>
          </w:p>
        </w:tc>
      </w:tr>
      <w:tr w:rsidR="00277004" w:rsidRPr="006D0DA3" w:rsidTr="006B015B">
        <w:trPr>
          <w:trHeight w:val="227"/>
        </w:trPr>
        <w:tc>
          <w:tcPr>
            <w:tcW w:w="3850" w:type="dxa"/>
            <w:tcBorders>
              <w:top w:val="nil"/>
              <w:left w:val="nil"/>
              <w:bottom w:val="nil"/>
              <w:right w:val="nil"/>
            </w:tcBorders>
            <w:noWrap/>
            <w:vAlign w:val="bottom"/>
          </w:tcPr>
          <w:p w:rsidR="00277004" w:rsidRPr="006D0DA3" w:rsidRDefault="00277004" w:rsidP="00223B18">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Issuance of ordinary shares</w:t>
            </w:r>
          </w:p>
        </w:tc>
        <w:tc>
          <w:tcPr>
            <w:tcW w:w="1100" w:type="dxa"/>
            <w:tcBorders>
              <w:top w:val="nil"/>
              <w:left w:val="nil"/>
              <w:bottom w:val="nil"/>
              <w:right w:val="nil"/>
            </w:tcBorders>
            <w:noWrap/>
            <w:vAlign w:val="bottom"/>
          </w:tcPr>
          <w:p w:rsidR="00277004" w:rsidRPr="006D0DA3" w:rsidRDefault="00393B2D"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4,537</w:t>
            </w:r>
          </w:p>
        </w:tc>
        <w:tc>
          <w:tcPr>
            <w:tcW w:w="990" w:type="dxa"/>
            <w:tcBorders>
              <w:top w:val="nil"/>
              <w:left w:val="nil"/>
              <w:bottom w:val="nil"/>
              <w:right w:val="nil"/>
            </w:tcBorders>
            <w:noWrap/>
            <w:vAlign w:val="bottom"/>
          </w:tcPr>
          <w:p w:rsidR="00277004" w:rsidRPr="006D0DA3" w:rsidRDefault="00393B2D"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(176)</w:t>
            </w:r>
          </w:p>
        </w:tc>
        <w:tc>
          <w:tcPr>
            <w:tcW w:w="1530" w:type="dxa"/>
            <w:tcBorders>
              <w:top w:val="nil"/>
              <w:left w:val="nil"/>
              <w:bottom w:val="nil"/>
              <w:right w:val="nil"/>
            </w:tcBorders>
            <w:noWrap/>
            <w:vAlign w:val="bottom"/>
          </w:tcPr>
          <w:p w:rsidR="00277004" w:rsidRPr="006D0DA3" w:rsidRDefault="00393B2D" w:rsidP="00AF1671">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53" w:type="dxa"/>
            <w:tcBorders>
              <w:top w:val="nil"/>
              <w:left w:val="nil"/>
              <w:bottom w:val="nil"/>
              <w:right w:val="nil"/>
            </w:tcBorders>
          </w:tcPr>
          <w:p w:rsidR="00277004" w:rsidRPr="006D0DA3" w:rsidRDefault="00393B2D" w:rsidP="00F719EC">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47" w:type="dxa"/>
            <w:tcBorders>
              <w:top w:val="nil"/>
              <w:left w:val="nil"/>
              <w:bottom w:val="nil"/>
              <w:right w:val="nil"/>
            </w:tcBorders>
            <w:noWrap/>
            <w:vAlign w:val="bottom"/>
          </w:tcPr>
          <w:p w:rsidR="00277004" w:rsidRPr="006D0DA3" w:rsidRDefault="00393B2D" w:rsidP="00F719EC">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46" w:type="dxa"/>
            <w:tcBorders>
              <w:top w:val="nil"/>
              <w:left w:val="nil"/>
              <w:bottom w:val="nil"/>
              <w:right w:val="nil"/>
            </w:tcBorders>
            <w:noWrap/>
            <w:vAlign w:val="bottom"/>
          </w:tcPr>
          <w:p w:rsidR="00277004" w:rsidRPr="006D0DA3" w:rsidRDefault="00393B2D" w:rsidP="00AF1671">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4,361</w:t>
            </w:r>
          </w:p>
        </w:tc>
        <w:tc>
          <w:tcPr>
            <w:tcW w:w="1134" w:type="dxa"/>
            <w:tcBorders>
              <w:top w:val="nil"/>
              <w:left w:val="nil"/>
              <w:bottom w:val="nil"/>
              <w:right w:val="nil"/>
            </w:tcBorders>
            <w:noWrap/>
            <w:vAlign w:val="bottom"/>
          </w:tcPr>
          <w:p w:rsidR="00277004" w:rsidRPr="006D0DA3" w:rsidRDefault="00393B2D" w:rsidP="00F719EC">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200" w:type="dxa"/>
            <w:tcBorders>
              <w:top w:val="nil"/>
              <w:left w:val="nil"/>
              <w:bottom w:val="nil"/>
              <w:right w:val="nil"/>
            </w:tcBorders>
            <w:noWrap/>
            <w:vAlign w:val="bottom"/>
          </w:tcPr>
          <w:p w:rsidR="00277004" w:rsidRPr="006D0DA3" w:rsidRDefault="00393B2D" w:rsidP="00AF1671">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4,361</w:t>
            </w:r>
          </w:p>
        </w:tc>
      </w:tr>
      <w:tr w:rsidR="00277004" w:rsidRPr="006D0DA3" w:rsidTr="006B015B">
        <w:trPr>
          <w:trHeight w:val="227"/>
        </w:trPr>
        <w:tc>
          <w:tcPr>
            <w:tcW w:w="3850" w:type="dxa"/>
            <w:tcBorders>
              <w:top w:val="nil"/>
              <w:left w:val="nil"/>
              <w:bottom w:val="nil"/>
              <w:right w:val="nil"/>
            </w:tcBorders>
            <w:noWrap/>
            <w:vAlign w:val="bottom"/>
          </w:tcPr>
          <w:p w:rsidR="00277004" w:rsidRPr="006D0DA3" w:rsidRDefault="00277004" w:rsidP="0047659D">
            <w:pPr>
              <w:spacing w:after="0" w:line="240" w:lineRule="auto"/>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Balance as at </w:t>
            </w:r>
            <w:r w:rsidR="00A36CFD" w:rsidRPr="00A36CFD">
              <w:rPr>
                <w:rFonts w:asciiTheme="minorHAnsi" w:hAnsiTheme="minorHAnsi" w:cstheme="minorHAnsi"/>
                <w:bCs/>
                <w:color w:val="000000"/>
                <w:sz w:val="16"/>
                <w:szCs w:val="16"/>
              </w:rPr>
              <w:t xml:space="preserve">31 </w:t>
            </w:r>
            <w:r w:rsidR="0047659D">
              <w:rPr>
                <w:rFonts w:asciiTheme="minorHAnsi" w:hAnsiTheme="minorHAnsi" w:cstheme="minorHAnsi"/>
                <w:bCs/>
                <w:color w:val="000000"/>
                <w:sz w:val="16"/>
                <w:szCs w:val="16"/>
              </w:rPr>
              <w:t>March</w:t>
            </w:r>
            <w:r w:rsidR="00A36CFD" w:rsidRPr="006D0DA3">
              <w:rPr>
                <w:rFonts w:asciiTheme="minorHAnsi" w:hAnsiTheme="minorHAnsi" w:cstheme="minorHAnsi"/>
                <w:b/>
                <w:bCs/>
                <w:color w:val="000000"/>
                <w:sz w:val="16"/>
                <w:szCs w:val="16"/>
              </w:rPr>
              <w:t xml:space="preserve"> </w:t>
            </w:r>
            <w:r w:rsidRPr="006D0DA3">
              <w:rPr>
                <w:rFonts w:asciiTheme="minorHAnsi" w:hAnsiTheme="minorHAnsi" w:cstheme="minorHAnsi"/>
                <w:color w:val="000000"/>
                <w:sz w:val="16"/>
                <w:szCs w:val="16"/>
              </w:rPr>
              <w:t>201</w:t>
            </w:r>
            <w:r w:rsidR="0047659D">
              <w:rPr>
                <w:rFonts w:asciiTheme="minorHAnsi" w:hAnsiTheme="minorHAnsi" w:cstheme="minorHAnsi"/>
                <w:color w:val="000000"/>
                <w:sz w:val="16"/>
                <w:szCs w:val="16"/>
              </w:rPr>
              <w:t>5</w:t>
            </w:r>
          </w:p>
        </w:tc>
        <w:tc>
          <w:tcPr>
            <w:tcW w:w="1100" w:type="dxa"/>
            <w:tcBorders>
              <w:top w:val="single" w:sz="4" w:space="0" w:color="auto"/>
              <w:left w:val="nil"/>
              <w:bottom w:val="double" w:sz="6" w:space="0" w:color="auto"/>
              <w:right w:val="nil"/>
            </w:tcBorders>
            <w:noWrap/>
            <w:vAlign w:val="bottom"/>
          </w:tcPr>
          <w:p w:rsidR="00277004" w:rsidRPr="006D0DA3" w:rsidRDefault="007B6AA3"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27,237</w:t>
            </w:r>
          </w:p>
        </w:tc>
        <w:tc>
          <w:tcPr>
            <w:tcW w:w="990" w:type="dxa"/>
            <w:tcBorders>
              <w:top w:val="single" w:sz="4" w:space="0" w:color="auto"/>
              <w:left w:val="nil"/>
              <w:bottom w:val="double" w:sz="6" w:space="0" w:color="auto"/>
              <w:right w:val="nil"/>
            </w:tcBorders>
            <w:noWrap/>
            <w:vAlign w:val="bottom"/>
          </w:tcPr>
          <w:p w:rsidR="00277004" w:rsidRPr="006D0DA3" w:rsidRDefault="007B6AA3" w:rsidP="00223B18">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11,082</w:t>
            </w:r>
          </w:p>
        </w:tc>
        <w:tc>
          <w:tcPr>
            <w:tcW w:w="1530" w:type="dxa"/>
            <w:tcBorders>
              <w:top w:val="single" w:sz="4" w:space="0" w:color="auto"/>
              <w:left w:val="nil"/>
              <w:bottom w:val="double" w:sz="6" w:space="0" w:color="auto"/>
              <w:right w:val="nil"/>
            </w:tcBorders>
            <w:noWrap/>
            <w:vAlign w:val="bottom"/>
          </w:tcPr>
          <w:p w:rsidR="00277004" w:rsidRPr="006D0DA3" w:rsidRDefault="001B3BCE" w:rsidP="005814BB">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5814BB">
              <w:rPr>
                <w:rFonts w:asciiTheme="minorHAnsi" w:hAnsiTheme="minorHAnsi" w:cstheme="minorHAnsi"/>
                <w:color w:val="000000"/>
                <w:sz w:val="16"/>
                <w:szCs w:val="16"/>
              </w:rPr>
              <w:t>221</w:t>
            </w:r>
            <w:r w:rsidRPr="006D0DA3">
              <w:rPr>
                <w:rFonts w:asciiTheme="minorHAnsi" w:hAnsiTheme="minorHAnsi" w:cstheme="minorHAnsi"/>
                <w:color w:val="000000"/>
                <w:sz w:val="16"/>
                <w:szCs w:val="16"/>
              </w:rPr>
              <w:t>)</w:t>
            </w:r>
          </w:p>
        </w:tc>
        <w:tc>
          <w:tcPr>
            <w:tcW w:w="1353" w:type="dxa"/>
            <w:tcBorders>
              <w:top w:val="single" w:sz="4" w:space="0" w:color="auto"/>
              <w:left w:val="nil"/>
              <w:bottom w:val="double" w:sz="6" w:space="0" w:color="auto"/>
              <w:right w:val="nil"/>
            </w:tcBorders>
          </w:tcPr>
          <w:p w:rsidR="00277004" w:rsidRPr="006D0DA3" w:rsidRDefault="00277004" w:rsidP="00F719EC">
            <w:pPr>
              <w:spacing w:after="0" w:line="240" w:lineRule="auto"/>
              <w:jc w:val="right"/>
              <w:rPr>
                <w:rFonts w:asciiTheme="minorHAnsi" w:hAnsiTheme="minorHAnsi" w:cstheme="minorHAnsi"/>
                <w:color w:val="000000"/>
                <w:sz w:val="16"/>
                <w:szCs w:val="16"/>
              </w:rPr>
            </w:pPr>
          </w:p>
          <w:p w:rsidR="00FC48CD" w:rsidRPr="006D0DA3" w:rsidRDefault="00FC48CD" w:rsidP="00F719EC">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p>
        </w:tc>
        <w:tc>
          <w:tcPr>
            <w:tcW w:w="1347" w:type="dxa"/>
            <w:tcBorders>
              <w:top w:val="single" w:sz="4" w:space="0" w:color="auto"/>
              <w:left w:val="nil"/>
              <w:bottom w:val="double" w:sz="6" w:space="0" w:color="auto"/>
              <w:right w:val="nil"/>
            </w:tcBorders>
            <w:noWrap/>
            <w:vAlign w:val="bottom"/>
          </w:tcPr>
          <w:p w:rsidR="00277004" w:rsidRPr="006D0DA3" w:rsidRDefault="001B3BCE" w:rsidP="005814BB">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w:t>
            </w:r>
            <w:r w:rsidR="005814BB">
              <w:rPr>
                <w:rFonts w:asciiTheme="minorHAnsi" w:hAnsiTheme="minorHAnsi" w:cstheme="minorHAnsi"/>
                <w:color w:val="000000"/>
                <w:sz w:val="16"/>
                <w:szCs w:val="16"/>
              </w:rPr>
              <w:t>19,783</w:t>
            </w:r>
            <w:r w:rsidR="00277004" w:rsidRPr="006D0DA3">
              <w:rPr>
                <w:rFonts w:asciiTheme="minorHAnsi" w:hAnsiTheme="minorHAnsi" w:cstheme="minorHAnsi"/>
                <w:color w:val="000000"/>
                <w:sz w:val="16"/>
                <w:szCs w:val="16"/>
              </w:rPr>
              <w:t>)</w:t>
            </w:r>
          </w:p>
        </w:tc>
        <w:tc>
          <w:tcPr>
            <w:tcW w:w="1346" w:type="dxa"/>
            <w:tcBorders>
              <w:top w:val="single" w:sz="4" w:space="0" w:color="auto"/>
              <w:left w:val="nil"/>
              <w:bottom w:val="double" w:sz="6" w:space="0" w:color="auto"/>
              <w:right w:val="nil"/>
            </w:tcBorders>
            <w:noWrap/>
            <w:vAlign w:val="bottom"/>
          </w:tcPr>
          <w:p w:rsidR="00277004" w:rsidRPr="006D0DA3" w:rsidRDefault="00056244" w:rsidP="005814BB">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18,</w:t>
            </w:r>
            <w:r w:rsidR="005814BB">
              <w:rPr>
                <w:rFonts w:asciiTheme="minorHAnsi" w:hAnsiTheme="minorHAnsi" w:cstheme="minorHAnsi"/>
                <w:color w:val="000000"/>
                <w:sz w:val="16"/>
                <w:szCs w:val="16"/>
              </w:rPr>
              <w:t>315</w:t>
            </w:r>
          </w:p>
        </w:tc>
        <w:tc>
          <w:tcPr>
            <w:tcW w:w="1134" w:type="dxa"/>
            <w:tcBorders>
              <w:top w:val="single" w:sz="4" w:space="0" w:color="auto"/>
              <w:left w:val="nil"/>
              <w:bottom w:val="double" w:sz="6" w:space="0" w:color="auto"/>
              <w:right w:val="nil"/>
            </w:tcBorders>
            <w:noWrap/>
            <w:vAlign w:val="bottom"/>
          </w:tcPr>
          <w:p w:rsidR="00277004" w:rsidRPr="006D0DA3" w:rsidRDefault="00277004" w:rsidP="005814BB">
            <w:pPr>
              <w:spacing w:after="0" w:line="240" w:lineRule="auto"/>
              <w:jc w:val="right"/>
              <w:rPr>
                <w:rFonts w:asciiTheme="minorHAnsi" w:hAnsiTheme="minorHAnsi" w:cstheme="minorHAnsi"/>
                <w:color w:val="000000"/>
                <w:sz w:val="16"/>
                <w:szCs w:val="16"/>
              </w:rPr>
            </w:pPr>
            <w:r w:rsidRPr="006D0DA3">
              <w:rPr>
                <w:rFonts w:asciiTheme="minorHAnsi" w:hAnsiTheme="minorHAnsi" w:cstheme="minorHAnsi"/>
                <w:color w:val="000000"/>
                <w:sz w:val="16"/>
                <w:szCs w:val="16"/>
              </w:rPr>
              <w:t xml:space="preserve">              (</w:t>
            </w:r>
            <w:r w:rsidR="005814BB">
              <w:rPr>
                <w:rFonts w:asciiTheme="minorHAnsi" w:hAnsiTheme="minorHAnsi" w:cstheme="minorHAnsi"/>
                <w:color w:val="000000"/>
                <w:sz w:val="16"/>
                <w:szCs w:val="16"/>
              </w:rPr>
              <w:t>108</w:t>
            </w:r>
            <w:r w:rsidRPr="006D0DA3">
              <w:rPr>
                <w:rFonts w:asciiTheme="minorHAnsi" w:hAnsiTheme="minorHAnsi" w:cstheme="minorHAnsi"/>
                <w:color w:val="000000"/>
                <w:sz w:val="16"/>
                <w:szCs w:val="16"/>
              </w:rPr>
              <w:t>)</w:t>
            </w:r>
          </w:p>
        </w:tc>
        <w:tc>
          <w:tcPr>
            <w:tcW w:w="1200" w:type="dxa"/>
            <w:tcBorders>
              <w:top w:val="single" w:sz="4" w:space="0" w:color="auto"/>
              <w:left w:val="nil"/>
              <w:bottom w:val="double" w:sz="6" w:space="0" w:color="auto"/>
              <w:right w:val="nil"/>
            </w:tcBorders>
            <w:noWrap/>
            <w:vAlign w:val="bottom"/>
          </w:tcPr>
          <w:p w:rsidR="00277004" w:rsidRPr="006D0DA3" w:rsidRDefault="0099510A" w:rsidP="005814BB">
            <w:pPr>
              <w:spacing w:after="0" w:line="240" w:lineRule="auto"/>
              <w:jc w:val="right"/>
              <w:rPr>
                <w:rFonts w:asciiTheme="minorHAnsi" w:hAnsiTheme="minorHAnsi" w:cstheme="minorHAnsi"/>
                <w:color w:val="000000"/>
                <w:sz w:val="16"/>
                <w:szCs w:val="16"/>
              </w:rPr>
            </w:pPr>
            <w:r>
              <w:rPr>
                <w:rFonts w:asciiTheme="minorHAnsi" w:hAnsiTheme="minorHAnsi" w:cstheme="minorHAnsi"/>
                <w:color w:val="000000"/>
                <w:sz w:val="16"/>
                <w:szCs w:val="16"/>
              </w:rPr>
              <w:t>18,</w:t>
            </w:r>
            <w:r w:rsidR="005814BB">
              <w:rPr>
                <w:rFonts w:asciiTheme="minorHAnsi" w:hAnsiTheme="minorHAnsi" w:cstheme="minorHAnsi"/>
                <w:color w:val="000000"/>
                <w:sz w:val="16"/>
                <w:szCs w:val="16"/>
              </w:rPr>
              <w:t>207</w:t>
            </w:r>
          </w:p>
        </w:tc>
      </w:tr>
    </w:tbl>
    <w:p w:rsidR="004977DE" w:rsidRPr="006D0DA3" w:rsidRDefault="004977DE" w:rsidP="00223B18">
      <w:pPr>
        <w:autoSpaceDE w:val="0"/>
        <w:autoSpaceDN w:val="0"/>
        <w:adjustRightInd w:val="0"/>
        <w:spacing w:after="0" w:line="240" w:lineRule="auto"/>
        <w:rPr>
          <w:rFonts w:asciiTheme="minorHAnsi" w:hAnsiTheme="minorHAnsi" w:cstheme="minorHAnsi"/>
          <w:b/>
          <w:bCs/>
          <w:sz w:val="16"/>
          <w:szCs w:val="16"/>
        </w:rPr>
      </w:pPr>
    </w:p>
    <w:p w:rsidR="00223B18" w:rsidRPr="006D0DA3" w:rsidRDefault="00223B18" w:rsidP="00223B18">
      <w:pPr>
        <w:autoSpaceDE w:val="0"/>
        <w:autoSpaceDN w:val="0"/>
        <w:adjustRightInd w:val="0"/>
        <w:spacing w:after="0" w:line="240" w:lineRule="auto"/>
        <w:rPr>
          <w:rFonts w:asciiTheme="minorHAnsi" w:hAnsiTheme="minorHAnsi" w:cstheme="minorHAnsi"/>
          <w:sz w:val="16"/>
          <w:szCs w:val="16"/>
        </w:rPr>
      </w:pPr>
      <w:r w:rsidRPr="006D0DA3">
        <w:rPr>
          <w:rFonts w:asciiTheme="minorHAnsi" w:hAnsiTheme="minorHAnsi" w:cstheme="minorHAnsi"/>
          <w:sz w:val="16"/>
          <w:szCs w:val="16"/>
        </w:rPr>
        <w:t>Note:</w:t>
      </w:r>
    </w:p>
    <w:p w:rsidR="00382699" w:rsidRPr="006D0DA3" w:rsidRDefault="00223B18" w:rsidP="005B1598">
      <w:pPr>
        <w:autoSpaceDE w:val="0"/>
        <w:autoSpaceDN w:val="0"/>
        <w:adjustRightInd w:val="0"/>
        <w:spacing w:after="0" w:line="240" w:lineRule="auto"/>
        <w:ind w:left="720" w:hanging="720"/>
        <w:jc w:val="both"/>
        <w:rPr>
          <w:rFonts w:asciiTheme="minorHAnsi" w:hAnsiTheme="minorHAnsi" w:cstheme="minorHAnsi"/>
          <w:sz w:val="16"/>
          <w:szCs w:val="16"/>
        </w:rPr>
      </w:pPr>
      <w:r w:rsidRPr="006D0DA3">
        <w:rPr>
          <w:rFonts w:asciiTheme="minorHAnsi" w:hAnsiTheme="minorHAnsi" w:cstheme="minorHAnsi"/>
          <w:sz w:val="16"/>
          <w:szCs w:val="16"/>
        </w:rPr>
        <w:t>(i)</w:t>
      </w:r>
      <w:r w:rsidRPr="006D0DA3">
        <w:rPr>
          <w:rFonts w:asciiTheme="minorHAnsi" w:hAnsiTheme="minorHAnsi" w:cstheme="minorHAnsi"/>
          <w:sz w:val="16"/>
          <w:szCs w:val="16"/>
        </w:rPr>
        <w:tab/>
        <w:t>The Unaudited Condensed Consolidated Statements of Changes in Equity should be read in conjunction with the audited financial st</w:t>
      </w:r>
      <w:r w:rsidR="005704A0" w:rsidRPr="006D0DA3">
        <w:rPr>
          <w:rFonts w:asciiTheme="minorHAnsi" w:hAnsiTheme="minorHAnsi" w:cstheme="minorHAnsi"/>
          <w:sz w:val="16"/>
          <w:szCs w:val="16"/>
        </w:rPr>
        <w:t>atements of the Group for the FPE 31 March</w:t>
      </w:r>
      <w:r w:rsidRPr="006D0DA3">
        <w:rPr>
          <w:rFonts w:asciiTheme="minorHAnsi" w:hAnsiTheme="minorHAnsi" w:cstheme="minorHAnsi"/>
          <w:sz w:val="16"/>
          <w:szCs w:val="16"/>
        </w:rPr>
        <w:t xml:space="preserve"> 201</w:t>
      </w:r>
      <w:r w:rsidR="005704A0" w:rsidRPr="006D0DA3">
        <w:rPr>
          <w:rFonts w:asciiTheme="minorHAnsi" w:hAnsiTheme="minorHAnsi" w:cstheme="minorHAnsi"/>
          <w:sz w:val="16"/>
          <w:szCs w:val="16"/>
        </w:rPr>
        <w:t>5</w:t>
      </w:r>
      <w:r w:rsidRPr="006D0DA3">
        <w:rPr>
          <w:rFonts w:asciiTheme="minorHAnsi" w:hAnsiTheme="minorHAnsi" w:cstheme="minorHAnsi"/>
          <w:sz w:val="16"/>
          <w:szCs w:val="16"/>
        </w:rPr>
        <w:t xml:space="preserve"> and the accompanying notes attached t</w:t>
      </w:r>
      <w:r w:rsidR="00FD2F59" w:rsidRPr="006D0DA3">
        <w:rPr>
          <w:rFonts w:asciiTheme="minorHAnsi" w:hAnsiTheme="minorHAnsi" w:cstheme="minorHAnsi"/>
          <w:sz w:val="16"/>
          <w:szCs w:val="16"/>
        </w:rPr>
        <w:t>o this interim financial report</w:t>
      </w:r>
      <w:r w:rsidR="005B1598" w:rsidRPr="006D0DA3">
        <w:rPr>
          <w:rFonts w:asciiTheme="minorHAnsi" w:hAnsiTheme="minorHAnsi" w:cstheme="minorHAnsi"/>
          <w:sz w:val="16"/>
          <w:szCs w:val="16"/>
        </w:rPr>
        <w:t>.</w:t>
      </w:r>
    </w:p>
    <w:p w:rsidR="000B0716" w:rsidRPr="008374DE" w:rsidRDefault="000B0716" w:rsidP="00223B18">
      <w:pPr>
        <w:autoSpaceDE w:val="0"/>
        <w:autoSpaceDN w:val="0"/>
        <w:adjustRightInd w:val="0"/>
        <w:spacing w:after="0" w:line="240" w:lineRule="auto"/>
        <w:jc w:val="both"/>
        <w:rPr>
          <w:rFonts w:ascii="Century" w:hAnsi="Century" w:cs="Arial"/>
          <w:b/>
          <w:bCs/>
          <w:sz w:val="16"/>
          <w:szCs w:val="16"/>
        </w:rPr>
        <w:sectPr w:rsidR="000B0716" w:rsidRPr="008374DE" w:rsidSect="00105FD0">
          <w:headerReference w:type="default" r:id="rId11"/>
          <w:pgSz w:w="16838" w:h="11906" w:orient="landscape"/>
          <w:pgMar w:top="1440" w:right="1440" w:bottom="851" w:left="1440" w:header="851" w:footer="0" w:gutter="0"/>
          <w:cols w:space="708"/>
          <w:docGrid w:linePitch="360"/>
        </w:sectPr>
      </w:pPr>
    </w:p>
    <w:p w:rsidR="00B20878" w:rsidRPr="008374DE" w:rsidRDefault="00B20878" w:rsidP="00CB68FB">
      <w:pPr>
        <w:spacing w:after="0" w:line="240" w:lineRule="auto"/>
        <w:rPr>
          <w:rFonts w:asciiTheme="minorHAnsi" w:hAnsiTheme="minorHAnsi"/>
          <w:b/>
          <w:bCs/>
          <w:sz w:val="20"/>
          <w:szCs w:val="20"/>
        </w:rPr>
      </w:pPr>
    </w:p>
    <w:p w:rsidR="004A40C0" w:rsidRPr="008374DE" w:rsidRDefault="004A40C0" w:rsidP="00CB68FB">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ON CONSOLIDATED RESULTS </w:t>
      </w:r>
    </w:p>
    <w:p w:rsidR="00C5215B" w:rsidRDefault="004A40C0" w:rsidP="00CB68FB">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for the </w:t>
      </w:r>
      <w:r w:rsidR="00684DDC">
        <w:rPr>
          <w:rFonts w:asciiTheme="minorHAnsi" w:hAnsiTheme="minorHAnsi"/>
          <w:b/>
          <w:bCs/>
          <w:sz w:val="20"/>
          <w:szCs w:val="20"/>
        </w:rPr>
        <w:t>Month</w:t>
      </w:r>
      <w:r w:rsidRPr="008374DE">
        <w:rPr>
          <w:rFonts w:asciiTheme="minorHAnsi" w:hAnsiTheme="minorHAnsi"/>
          <w:b/>
          <w:bCs/>
          <w:sz w:val="20"/>
          <w:szCs w:val="20"/>
        </w:rPr>
        <w:t xml:space="preserve"> Ended </w:t>
      </w:r>
      <w:r w:rsidR="001E6FD5">
        <w:rPr>
          <w:rFonts w:asciiTheme="minorHAnsi" w:hAnsiTheme="minorHAnsi"/>
          <w:b/>
          <w:bCs/>
          <w:sz w:val="20"/>
          <w:szCs w:val="20"/>
        </w:rPr>
        <w:t>3</w:t>
      </w:r>
      <w:r w:rsidR="00684DDC">
        <w:rPr>
          <w:rFonts w:asciiTheme="minorHAnsi" w:hAnsiTheme="minorHAnsi"/>
          <w:b/>
          <w:bCs/>
          <w:sz w:val="20"/>
          <w:szCs w:val="20"/>
        </w:rPr>
        <w:t>1 July</w:t>
      </w:r>
      <w:r w:rsidR="00C33B1C">
        <w:rPr>
          <w:rFonts w:asciiTheme="minorHAnsi" w:hAnsiTheme="minorHAnsi"/>
          <w:b/>
          <w:bCs/>
          <w:sz w:val="20"/>
          <w:szCs w:val="20"/>
        </w:rPr>
        <w:t xml:space="preserve"> 2016</w:t>
      </w:r>
    </w:p>
    <w:p w:rsidR="00C5215B" w:rsidRDefault="00C5215B" w:rsidP="00CB68FB">
      <w:pPr>
        <w:spacing w:after="0" w:line="240" w:lineRule="auto"/>
        <w:rPr>
          <w:rFonts w:asciiTheme="minorHAnsi" w:hAnsiTheme="minorHAnsi"/>
          <w:b/>
          <w:bCs/>
          <w:sz w:val="20"/>
          <w:szCs w:val="20"/>
        </w:rPr>
      </w:pPr>
    </w:p>
    <w:p w:rsidR="004A40C0" w:rsidRPr="008374DE" w:rsidRDefault="004A40C0" w:rsidP="00CB68FB">
      <w:pPr>
        <w:spacing w:after="0" w:line="240" w:lineRule="auto"/>
        <w:rPr>
          <w:rFonts w:asciiTheme="minorHAnsi" w:hAnsiTheme="minorHAnsi" w:cs="Times New Roman"/>
          <w:b/>
          <w:bCs/>
          <w:sz w:val="20"/>
          <w:szCs w:val="20"/>
        </w:rPr>
      </w:pPr>
      <w:r w:rsidRPr="008374DE">
        <w:rPr>
          <w:rFonts w:asciiTheme="minorHAnsi" w:hAnsiTheme="minorHAnsi"/>
          <w:b/>
          <w:bCs/>
          <w:sz w:val="20"/>
          <w:szCs w:val="20"/>
        </w:rPr>
        <w:t>A:</w:t>
      </w:r>
      <w:r w:rsidRPr="008374DE">
        <w:rPr>
          <w:rFonts w:asciiTheme="minorHAnsi" w:hAnsiTheme="minorHAnsi" w:cs="Times New Roman"/>
          <w:b/>
          <w:bCs/>
          <w:sz w:val="20"/>
          <w:szCs w:val="20"/>
        </w:rPr>
        <w:tab/>
      </w:r>
      <w:r w:rsidRPr="008374DE">
        <w:rPr>
          <w:rFonts w:asciiTheme="minorHAnsi" w:hAnsiTheme="minorHAnsi"/>
          <w:b/>
          <w:bCs/>
          <w:sz w:val="20"/>
          <w:szCs w:val="20"/>
        </w:rPr>
        <w:t>EXPLANATORY NOTES PURSUANT TO THE FINANCIAL REPORTING STANDARDS (“FRS”) 134</w:t>
      </w:r>
    </w:p>
    <w:p w:rsidR="002C7465" w:rsidRDefault="002C7465" w:rsidP="00CB68FB">
      <w:pPr>
        <w:spacing w:after="0" w:line="240" w:lineRule="auto"/>
        <w:rPr>
          <w:rFonts w:asciiTheme="minorHAnsi" w:hAnsiTheme="minorHAnsi" w:cs="Times New Roman"/>
          <w:b/>
          <w:bCs/>
          <w:sz w:val="20"/>
          <w:szCs w:val="20"/>
        </w:rPr>
      </w:pPr>
    </w:p>
    <w:p w:rsidR="00004DDC" w:rsidRPr="008374DE" w:rsidRDefault="00004DDC" w:rsidP="00CB68FB">
      <w:pPr>
        <w:spacing w:after="0" w:line="240" w:lineRule="auto"/>
        <w:rPr>
          <w:rFonts w:asciiTheme="minorHAnsi" w:hAnsiTheme="minorHAnsi" w:cs="Times New Roman"/>
          <w:b/>
          <w:bCs/>
          <w:sz w:val="20"/>
          <w:szCs w:val="20"/>
        </w:rPr>
      </w:pPr>
    </w:p>
    <w:p w:rsidR="004A40C0" w:rsidRPr="008374DE" w:rsidRDefault="004A40C0" w:rsidP="00CB68FB">
      <w:pPr>
        <w:rPr>
          <w:rFonts w:asciiTheme="minorHAnsi" w:hAnsiTheme="minorHAnsi"/>
          <w:b/>
          <w:bCs/>
          <w:sz w:val="20"/>
          <w:szCs w:val="20"/>
        </w:rPr>
      </w:pPr>
      <w:r w:rsidRPr="008374DE">
        <w:rPr>
          <w:rFonts w:asciiTheme="minorHAnsi" w:hAnsiTheme="minorHAnsi"/>
          <w:b/>
          <w:bCs/>
          <w:sz w:val="20"/>
          <w:szCs w:val="20"/>
        </w:rPr>
        <w:t>A1. Basis of Preparation</w:t>
      </w:r>
    </w:p>
    <w:p w:rsidR="004A40C0" w:rsidRDefault="004A40C0" w:rsidP="00CB68FB">
      <w:pPr>
        <w:jc w:val="both"/>
        <w:rPr>
          <w:rFonts w:asciiTheme="minorHAnsi" w:hAnsiTheme="minorHAnsi"/>
          <w:sz w:val="20"/>
          <w:szCs w:val="20"/>
        </w:rPr>
      </w:pPr>
      <w:r w:rsidRPr="008374DE">
        <w:rPr>
          <w:rFonts w:asciiTheme="minorHAnsi" w:hAnsiTheme="minorHAnsi"/>
          <w:sz w:val="20"/>
          <w:szCs w:val="20"/>
        </w:rPr>
        <w:t xml:space="preserve">The interim financial statements are unaudited and have been prepared in accordance with the Malaysian Financial Reporting Standards (“MFRS”) 134: Interim Financial Reporting, Paragraph 9.22 and Appendix 9B of the ACE Market Listing Requirements of Bursa Malaysia Securities Berhad (“Bursa Securities”). The interim financial statements should be read in conjunction with the audited financial statements of </w:t>
      </w:r>
      <w:r w:rsidR="005B1598">
        <w:rPr>
          <w:rFonts w:asciiTheme="minorHAnsi" w:hAnsiTheme="minorHAnsi"/>
          <w:sz w:val="20"/>
          <w:szCs w:val="20"/>
        </w:rPr>
        <w:t>the Group for the financial period ended 31March</w:t>
      </w:r>
      <w:r w:rsidRPr="008374DE">
        <w:rPr>
          <w:rFonts w:asciiTheme="minorHAnsi" w:hAnsiTheme="minorHAnsi"/>
          <w:sz w:val="20"/>
          <w:szCs w:val="20"/>
        </w:rPr>
        <w:t xml:space="preserve"> 201</w:t>
      </w:r>
      <w:r w:rsidR="005B1598">
        <w:rPr>
          <w:rFonts w:asciiTheme="minorHAnsi" w:hAnsiTheme="minorHAnsi"/>
          <w:sz w:val="20"/>
          <w:szCs w:val="20"/>
        </w:rPr>
        <w:t>5</w:t>
      </w:r>
      <w:r w:rsidRPr="008374DE">
        <w:rPr>
          <w:rFonts w:asciiTheme="minorHAnsi" w:hAnsiTheme="minorHAnsi"/>
          <w:sz w:val="20"/>
          <w:szCs w:val="20"/>
        </w:rPr>
        <w:t xml:space="preserve"> and the accompanying explanatory notes attached to the interim financial report.</w:t>
      </w:r>
    </w:p>
    <w:p w:rsidR="004A40C0" w:rsidRPr="008374DE" w:rsidRDefault="004A40C0" w:rsidP="00A12617">
      <w:pPr>
        <w:spacing w:after="0" w:line="240" w:lineRule="auto"/>
        <w:jc w:val="both"/>
        <w:rPr>
          <w:rFonts w:asciiTheme="minorHAnsi" w:hAnsiTheme="minorHAnsi"/>
          <w:sz w:val="20"/>
          <w:szCs w:val="20"/>
          <w:lang w:val="en-US" w:eastAsia="en-US"/>
        </w:rPr>
      </w:pPr>
      <w:r w:rsidRPr="00607BBA">
        <w:rPr>
          <w:rFonts w:asciiTheme="minorHAnsi" w:hAnsiTheme="minorHAnsi"/>
          <w:sz w:val="20"/>
          <w:szCs w:val="20"/>
          <w:lang w:val="en-US" w:eastAsia="en-US"/>
        </w:rPr>
        <w:t>The Group h</w:t>
      </w:r>
      <w:r w:rsidR="00C976B2">
        <w:rPr>
          <w:rFonts w:asciiTheme="minorHAnsi" w:hAnsiTheme="minorHAnsi"/>
          <w:sz w:val="20"/>
          <w:szCs w:val="20"/>
          <w:lang w:val="en-US" w:eastAsia="en-US"/>
        </w:rPr>
        <w:t xml:space="preserve">as also adopted all </w:t>
      </w:r>
      <w:r w:rsidR="00607BBA" w:rsidRPr="00607BBA">
        <w:rPr>
          <w:rFonts w:asciiTheme="minorHAnsi" w:hAnsiTheme="minorHAnsi"/>
          <w:sz w:val="20"/>
          <w:szCs w:val="20"/>
          <w:lang w:val="en-US" w:eastAsia="en-US"/>
        </w:rPr>
        <w:t>A</w:t>
      </w:r>
      <w:r w:rsidR="005C5496" w:rsidRPr="00607BBA">
        <w:rPr>
          <w:rFonts w:asciiTheme="minorHAnsi" w:hAnsiTheme="minorHAnsi"/>
          <w:sz w:val="20"/>
          <w:szCs w:val="20"/>
          <w:lang w:val="en-US" w:eastAsia="en-US"/>
        </w:rPr>
        <w:t>mendmen</w:t>
      </w:r>
      <w:r w:rsidR="00607BBA" w:rsidRPr="00607BBA">
        <w:rPr>
          <w:rFonts w:asciiTheme="minorHAnsi" w:hAnsiTheme="minorHAnsi"/>
          <w:sz w:val="20"/>
          <w:szCs w:val="20"/>
          <w:lang w:val="en-US" w:eastAsia="en-US"/>
        </w:rPr>
        <w:t>ts/I</w:t>
      </w:r>
      <w:r w:rsidR="005C5496" w:rsidRPr="00607BBA">
        <w:rPr>
          <w:rFonts w:asciiTheme="minorHAnsi" w:hAnsiTheme="minorHAnsi"/>
          <w:sz w:val="20"/>
          <w:szCs w:val="20"/>
          <w:lang w:val="en-US" w:eastAsia="en-US"/>
        </w:rPr>
        <w:t>mprovements to</w:t>
      </w:r>
      <w:r w:rsidRPr="00607BBA">
        <w:rPr>
          <w:rFonts w:asciiTheme="minorHAnsi" w:hAnsiTheme="minorHAnsi"/>
          <w:sz w:val="20"/>
          <w:szCs w:val="20"/>
          <w:lang w:val="en-US" w:eastAsia="en-US"/>
        </w:rPr>
        <w:t xml:space="preserve"> MFRSs that are relevant and effective for accounting periods begi</w:t>
      </w:r>
      <w:r w:rsidR="005C5496" w:rsidRPr="00607BBA">
        <w:rPr>
          <w:rFonts w:asciiTheme="minorHAnsi" w:hAnsiTheme="minorHAnsi"/>
          <w:sz w:val="20"/>
          <w:szCs w:val="20"/>
          <w:lang w:val="en-US" w:eastAsia="en-US"/>
        </w:rPr>
        <w:t xml:space="preserve">nning on or after 1 </w:t>
      </w:r>
      <w:r w:rsidR="003A4B91">
        <w:rPr>
          <w:rFonts w:asciiTheme="minorHAnsi" w:hAnsiTheme="minorHAnsi"/>
          <w:sz w:val="20"/>
          <w:szCs w:val="20"/>
          <w:lang w:val="en-US" w:eastAsia="en-US"/>
        </w:rPr>
        <w:t>April</w:t>
      </w:r>
      <w:r w:rsidR="005C5496" w:rsidRPr="00607BBA">
        <w:rPr>
          <w:rFonts w:asciiTheme="minorHAnsi" w:hAnsiTheme="minorHAnsi"/>
          <w:sz w:val="20"/>
          <w:szCs w:val="20"/>
          <w:lang w:val="en-US" w:eastAsia="en-US"/>
        </w:rPr>
        <w:t xml:space="preserve"> 201</w:t>
      </w:r>
      <w:r w:rsidR="000A6665">
        <w:rPr>
          <w:rFonts w:asciiTheme="minorHAnsi" w:hAnsiTheme="minorHAnsi"/>
          <w:sz w:val="20"/>
          <w:szCs w:val="20"/>
          <w:lang w:val="en-US" w:eastAsia="en-US"/>
        </w:rPr>
        <w:t>5</w:t>
      </w:r>
      <w:r w:rsidRPr="00607BBA">
        <w:rPr>
          <w:rFonts w:asciiTheme="minorHAnsi" w:hAnsiTheme="minorHAnsi"/>
          <w:sz w:val="20"/>
          <w:szCs w:val="20"/>
          <w:lang w:val="en-US" w:eastAsia="en-US"/>
        </w:rPr>
        <w:t xml:space="preserve">. The adoption of these </w:t>
      </w:r>
      <w:r w:rsidR="00607BBA" w:rsidRPr="00607BBA">
        <w:rPr>
          <w:rFonts w:asciiTheme="minorHAnsi" w:hAnsiTheme="minorHAnsi"/>
          <w:sz w:val="20"/>
          <w:szCs w:val="20"/>
          <w:lang w:val="en-US" w:eastAsia="en-US"/>
        </w:rPr>
        <w:t>Amendments/Improvements to</w:t>
      </w:r>
      <w:r w:rsidR="00C976B2">
        <w:rPr>
          <w:rFonts w:asciiTheme="minorHAnsi" w:hAnsiTheme="minorHAnsi"/>
          <w:sz w:val="20"/>
          <w:szCs w:val="20"/>
          <w:lang w:val="en-US" w:eastAsia="en-US"/>
        </w:rPr>
        <w:t xml:space="preserve"> MFRSs</w:t>
      </w:r>
      <w:r w:rsidR="00A36CFD">
        <w:rPr>
          <w:rFonts w:asciiTheme="minorHAnsi" w:hAnsiTheme="minorHAnsi"/>
          <w:sz w:val="20"/>
          <w:szCs w:val="20"/>
          <w:lang w:val="en-US" w:eastAsia="en-US"/>
        </w:rPr>
        <w:t xml:space="preserve"> </w:t>
      </w:r>
      <w:r w:rsidR="00C976B2">
        <w:rPr>
          <w:rFonts w:asciiTheme="minorHAnsi" w:hAnsiTheme="minorHAnsi"/>
          <w:sz w:val="20"/>
          <w:szCs w:val="20"/>
          <w:lang w:val="en-US" w:eastAsia="en-US"/>
        </w:rPr>
        <w:t>has</w:t>
      </w:r>
      <w:r w:rsidRPr="00607BBA">
        <w:rPr>
          <w:rFonts w:asciiTheme="minorHAnsi" w:hAnsiTheme="minorHAnsi"/>
          <w:sz w:val="20"/>
          <w:szCs w:val="20"/>
          <w:lang w:val="en-US" w:eastAsia="en-US"/>
        </w:rPr>
        <w:t xml:space="preserve"> not resulted in any material impact on the financial statements of the Group.</w:t>
      </w:r>
    </w:p>
    <w:p w:rsidR="007F6C72" w:rsidRPr="00C976B2" w:rsidRDefault="007F6C72" w:rsidP="00CB68FB">
      <w:pPr>
        <w:spacing w:after="0" w:line="240" w:lineRule="auto"/>
        <w:rPr>
          <w:rFonts w:asciiTheme="minorHAnsi" w:hAnsiTheme="minorHAnsi"/>
          <w:b/>
          <w:bCs/>
          <w:sz w:val="20"/>
          <w:szCs w:val="20"/>
          <w:lang w:val="en-US"/>
        </w:rPr>
      </w:pPr>
    </w:p>
    <w:p w:rsidR="004D4E0D" w:rsidRDefault="004D4E0D" w:rsidP="00CB68FB">
      <w:pPr>
        <w:spacing w:after="0" w:line="240" w:lineRule="auto"/>
        <w:rPr>
          <w:rFonts w:asciiTheme="minorHAnsi" w:hAnsiTheme="minorHAnsi"/>
          <w:b/>
          <w:bCs/>
          <w:sz w:val="20"/>
          <w:szCs w:val="20"/>
        </w:rPr>
      </w:pPr>
    </w:p>
    <w:p w:rsidR="004A40C0" w:rsidRPr="008374DE" w:rsidRDefault="004A40C0" w:rsidP="00CB68FB">
      <w:pPr>
        <w:spacing w:after="0" w:line="240" w:lineRule="auto"/>
        <w:rPr>
          <w:rFonts w:asciiTheme="minorHAnsi" w:hAnsiTheme="minorHAnsi" w:cs="Times New Roman"/>
          <w:b/>
          <w:bCs/>
          <w:sz w:val="20"/>
          <w:szCs w:val="20"/>
        </w:rPr>
      </w:pPr>
      <w:r w:rsidRPr="008374DE">
        <w:rPr>
          <w:rFonts w:asciiTheme="minorHAnsi" w:hAnsiTheme="minorHAnsi"/>
          <w:b/>
          <w:bCs/>
          <w:sz w:val="20"/>
          <w:szCs w:val="20"/>
        </w:rPr>
        <w:t>A2. Auditors’ Report of preceding annual financial statements</w:t>
      </w:r>
    </w:p>
    <w:p w:rsidR="004A40C0" w:rsidRPr="008374DE" w:rsidRDefault="004A40C0" w:rsidP="00CB68FB">
      <w:pPr>
        <w:spacing w:after="0" w:line="240" w:lineRule="auto"/>
        <w:rPr>
          <w:rFonts w:asciiTheme="minorHAnsi" w:hAnsiTheme="minorHAnsi" w:cs="Times New Roman"/>
          <w:b/>
          <w:bCs/>
          <w:sz w:val="20"/>
          <w:szCs w:val="20"/>
        </w:rPr>
      </w:pPr>
    </w:p>
    <w:p w:rsidR="004A40C0" w:rsidRPr="008374DE" w:rsidRDefault="004A40C0" w:rsidP="00CB68FB">
      <w:pPr>
        <w:spacing w:after="0" w:line="240" w:lineRule="auto"/>
        <w:jc w:val="both"/>
        <w:rPr>
          <w:rFonts w:asciiTheme="minorHAnsi" w:hAnsiTheme="minorHAnsi"/>
          <w:sz w:val="20"/>
          <w:szCs w:val="20"/>
        </w:rPr>
      </w:pPr>
      <w:r w:rsidRPr="008374DE">
        <w:rPr>
          <w:rFonts w:asciiTheme="minorHAnsi" w:hAnsiTheme="minorHAnsi"/>
          <w:sz w:val="20"/>
          <w:szCs w:val="20"/>
        </w:rPr>
        <w:t>The preceding year’s an</w:t>
      </w:r>
      <w:r w:rsidR="005B1598">
        <w:rPr>
          <w:rFonts w:asciiTheme="minorHAnsi" w:hAnsiTheme="minorHAnsi"/>
          <w:sz w:val="20"/>
          <w:szCs w:val="20"/>
        </w:rPr>
        <w:t xml:space="preserve">nual financial statements </w:t>
      </w:r>
      <w:r w:rsidR="000A6665">
        <w:rPr>
          <w:rFonts w:asciiTheme="minorHAnsi" w:hAnsiTheme="minorHAnsi"/>
          <w:sz w:val="20"/>
          <w:szCs w:val="20"/>
        </w:rPr>
        <w:t xml:space="preserve">for the period ended 31 March 2015 </w:t>
      </w:r>
      <w:r w:rsidR="00DA43BC">
        <w:rPr>
          <w:rFonts w:asciiTheme="minorHAnsi" w:hAnsiTheme="minorHAnsi"/>
          <w:sz w:val="20"/>
          <w:szCs w:val="20"/>
        </w:rPr>
        <w:t xml:space="preserve">of the Group </w:t>
      </w:r>
      <w:r w:rsidR="005B1598">
        <w:rPr>
          <w:rFonts w:asciiTheme="minorHAnsi" w:hAnsiTheme="minorHAnsi"/>
          <w:sz w:val="20"/>
          <w:szCs w:val="20"/>
        </w:rPr>
        <w:t xml:space="preserve">were </w:t>
      </w:r>
      <w:r w:rsidR="00554756">
        <w:rPr>
          <w:rFonts w:asciiTheme="minorHAnsi" w:hAnsiTheme="minorHAnsi"/>
          <w:sz w:val="20"/>
          <w:szCs w:val="20"/>
        </w:rPr>
        <w:t>qualified for</w:t>
      </w:r>
      <w:r w:rsidR="005B1598">
        <w:rPr>
          <w:rFonts w:asciiTheme="minorHAnsi" w:hAnsiTheme="minorHAnsi"/>
          <w:sz w:val="20"/>
          <w:szCs w:val="20"/>
        </w:rPr>
        <w:t xml:space="preserve"> the following matters:</w:t>
      </w:r>
    </w:p>
    <w:p w:rsidR="004A40C0" w:rsidRDefault="004A40C0" w:rsidP="00CB68FB">
      <w:pPr>
        <w:spacing w:after="0" w:line="240" w:lineRule="auto"/>
        <w:jc w:val="both"/>
        <w:rPr>
          <w:rFonts w:asciiTheme="minorHAnsi" w:hAnsiTheme="minorHAnsi"/>
          <w:sz w:val="20"/>
          <w:szCs w:val="20"/>
        </w:rPr>
      </w:pPr>
    </w:p>
    <w:p w:rsidR="0048706A" w:rsidRDefault="00554756" w:rsidP="00CB68FB">
      <w:pPr>
        <w:spacing w:after="0" w:line="240" w:lineRule="auto"/>
        <w:jc w:val="both"/>
        <w:rPr>
          <w:sz w:val="20"/>
          <w:szCs w:val="20"/>
        </w:rPr>
      </w:pPr>
      <w:r w:rsidRPr="00554756">
        <w:rPr>
          <w:sz w:val="20"/>
          <w:szCs w:val="20"/>
        </w:rPr>
        <w:t xml:space="preserve">(i) Property, plant and equipment </w:t>
      </w:r>
    </w:p>
    <w:p w:rsidR="0048706A" w:rsidRDefault="0048706A" w:rsidP="00CB68FB">
      <w:pPr>
        <w:spacing w:after="0" w:line="240" w:lineRule="auto"/>
        <w:jc w:val="both"/>
        <w:rPr>
          <w:sz w:val="20"/>
          <w:szCs w:val="20"/>
        </w:rPr>
      </w:pPr>
    </w:p>
    <w:p w:rsidR="005B1598" w:rsidRPr="00554756" w:rsidRDefault="00554756" w:rsidP="00CB68FB">
      <w:pPr>
        <w:spacing w:after="0" w:line="240" w:lineRule="auto"/>
        <w:jc w:val="both"/>
        <w:rPr>
          <w:rFonts w:asciiTheme="minorHAnsi" w:hAnsiTheme="minorHAnsi"/>
          <w:sz w:val="20"/>
          <w:szCs w:val="20"/>
        </w:rPr>
      </w:pPr>
      <w:r w:rsidRPr="00554756">
        <w:rPr>
          <w:sz w:val="20"/>
          <w:szCs w:val="20"/>
        </w:rPr>
        <w:t>As disclosed in Note 4(a) to the financial statements, included in property, plant and equipment of the Group and the Company as at 3</w:t>
      </w:r>
      <w:r w:rsidR="00F64687">
        <w:rPr>
          <w:sz w:val="20"/>
          <w:szCs w:val="20"/>
        </w:rPr>
        <w:t>1 March</w:t>
      </w:r>
      <w:r w:rsidRPr="00554756">
        <w:rPr>
          <w:sz w:val="20"/>
          <w:szCs w:val="20"/>
        </w:rPr>
        <w:t xml:space="preserve"> 2015 are IT equipment and IT equipment under installation amounting to</w:t>
      </w:r>
      <w:r>
        <w:rPr>
          <w:sz w:val="20"/>
          <w:szCs w:val="20"/>
        </w:rPr>
        <w:t xml:space="preserve"> RM2,871,071 and RM3,255,305</w:t>
      </w:r>
      <w:r w:rsidRPr="00554756">
        <w:rPr>
          <w:sz w:val="20"/>
          <w:szCs w:val="20"/>
        </w:rPr>
        <w:t xml:space="preserve"> respectively that relates to a project which was terminated during the financial period. The directors are confident that the said equipment </w:t>
      </w:r>
      <w:r w:rsidR="00BF1C78">
        <w:rPr>
          <w:sz w:val="20"/>
          <w:szCs w:val="20"/>
        </w:rPr>
        <w:t xml:space="preserve">would </w:t>
      </w:r>
      <w:r w:rsidRPr="00554756">
        <w:rPr>
          <w:sz w:val="20"/>
          <w:szCs w:val="20"/>
        </w:rPr>
        <w:t>have alternative uses which can generate economic benefits to the Group in the future. However, since a substantial portion of the said equipment has yet to be fully deployed as at the date of this report, we were unable to ascertain the directors’ assessment of the recoverable amount of the said equipment in accordance with MFRS 136: Impairment of Assets. Therefore, we could not determine the effect of adjustments, if any, on the financial position of the Group and the Company as at 31 March 2015, or on its financial performance and cash flows for the period then ended.</w:t>
      </w:r>
    </w:p>
    <w:p w:rsidR="005B1598" w:rsidRDefault="005B1598" w:rsidP="00CB68FB">
      <w:pPr>
        <w:spacing w:after="0" w:line="240" w:lineRule="auto"/>
        <w:jc w:val="both"/>
        <w:rPr>
          <w:rFonts w:asciiTheme="minorHAnsi" w:hAnsiTheme="minorHAnsi"/>
          <w:sz w:val="20"/>
          <w:szCs w:val="20"/>
        </w:rPr>
      </w:pPr>
    </w:p>
    <w:p w:rsidR="0048706A" w:rsidRDefault="00554756" w:rsidP="00CB68FB">
      <w:pPr>
        <w:spacing w:after="0" w:line="240" w:lineRule="auto"/>
        <w:jc w:val="both"/>
        <w:rPr>
          <w:sz w:val="20"/>
          <w:szCs w:val="20"/>
        </w:rPr>
      </w:pPr>
      <w:r w:rsidRPr="00554756">
        <w:rPr>
          <w:sz w:val="20"/>
          <w:szCs w:val="20"/>
        </w:rPr>
        <w:t xml:space="preserve">(ii) Intangible assets </w:t>
      </w:r>
    </w:p>
    <w:p w:rsidR="0048706A" w:rsidRDefault="0048706A" w:rsidP="00CB68FB">
      <w:pPr>
        <w:spacing w:after="0" w:line="240" w:lineRule="auto"/>
        <w:jc w:val="both"/>
        <w:rPr>
          <w:sz w:val="20"/>
          <w:szCs w:val="20"/>
        </w:rPr>
      </w:pPr>
    </w:p>
    <w:p w:rsidR="005B1598" w:rsidRDefault="00554756" w:rsidP="00CB68FB">
      <w:pPr>
        <w:spacing w:after="0" w:line="240" w:lineRule="auto"/>
        <w:jc w:val="both"/>
        <w:rPr>
          <w:sz w:val="20"/>
          <w:szCs w:val="20"/>
        </w:rPr>
      </w:pPr>
      <w:r w:rsidRPr="00554756">
        <w:rPr>
          <w:sz w:val="20"/>
          <w:szCs w:val="20"/>
        </w:rPr>
        <w:t xml:space="preserve">As disclosed in Note 9(iii) to the financial statements, the total carrying amount of intangible assets of the Group </w:t>
      </w:r>
      <w:r>
        <w:rPr>
          <w:sz w:val="20"/>
          <w:szCs w:val="20"/>
        </w:rPr>
        <w:t>and the Company of RM1,391,543</w:t>
      </w:r>
      <w:r w:rsidRPr="00554756">
        <w:rPr>
          <w:sz w:val="20"/>
          <w:szCs w:val="20"/>
        </w:rPr>
        <w:t xml:space="preserve"> as at </w:t>
      </w:r>
      <w:r w:rsidR="002505E4" w:rsidRPr="00554756">
        <w:rPr>
          <w:sz w:val="20"/>
          <w:szCs w:val="20"/>
        </w:rPr>
        <w:t>3</w:t>
      </w:r>
      <w:r w:rsidR="00F64687">
        <w:rPr>
          <w:sz w:val="20"/>
          <w:szCs w:val="20"/>
        </w:rPr>
        <w:t>1 March</w:t>
      </w:r>
      <w:r w:rsidR="002505E4" w:rsidRPr="00554756">
        <w:rPr>
          <w:sz w:val="20"/>
          <w:szCs w:val="20"/>
        </w:rPr>
        <w:t xml:space="preserve"> </w:t>
      </w:r>
      <w:r w:rsidRPr="00554756">
        <w:rPr>
          <w:sz w:val="20"/>
          <w:szCs w:val="20"/>
        </w:rPr>
        <w:t xml:space="preserve">2015 consists of product development costs that relates to a project which was terminated during the financial period. The directors are confident that the technological knowhow contained in the development costs can be used in alternative projects which can generate economic benefits to the Group in the future. We were unable to ascertain the directors’ assessment of the recoverable amount of the development expenditure in accordance with MFRS 136: Impairment of Assets. Therefore, we could not determine the effect of adjustments, if any, on the financial position of the Group and its related disclosures as at </w:t>
      </w:r>
      <w:r w:rsidR="00F64687" w:rsidRPr="00554756">
        <w:rPr>
          <w:sz w:val="20"/>
          <w:szCs w:val="20"/>
        </w:rPr>
        <w:t>3</w:t>
      </w:r>
      <w:r w:rsidR="00F64687">
        <w:rPr>
          <w:sz w:val="20"/>
          <w:szCs w:val="20"/>
        </w:rPr>
        <w:t>1 March</w:t>
      </w:r>
      <w:r w:rsidR="00F64687" w:rsidRPr="00554756">
        <w:rPr>
          <w:sz w:val="20"/>
          <w:szCs w:val="20"/>
        </w:rPr>
        <w:t xml:space="preserve"> 2015</w:t>
      </w:r>
      <w:r w:rsidRPr="00554756">
        <w:rPr>
          <w:sz w:val="20"/>
          <w:szCs w:val="20"/>
        </w:rPr>
        <w:t>, or on its financial performance and cash flows for the period then ended.</w:t>
      </w:r>
    </w:p>
    <w:p w:rsidR="008841D5" w:rsidRDefault="008841D5" w:rsidP="00CB68FB">
      <w:pPr>
        <w:spacing w:after="0" w:line="240" w:lineRule="auto"/>
        <w:jc w:val="both"/>
        <w:rPr>
          <w:sz w:val="20"/>
          <w:szCs w:val="20"/>
        </w:rPr>
      </w:pPr>
    </w:p>
    <w:p w:rsidR="008841D5" w:rsidRDefault="008841D5" w:rsidP="00CB68FB">
      <w:pPr>
        <w:spacing w:after="0" w:line="240" w:lineRule="auto"/>
        <w:jc w:val="both"/>
        <w:rPr>
          <w:sz w:val="20"/>
          <w:szCs w:val="20"/>
        </w:rPr>
      </w:pPr>
    </w:p>
    <w:p w:rsidR="008841D5" w:rsidRPr="008374DE" w:rsidRDefault="008841D5" w:rsidP="008841D5">
      <w:pPr>
        <w:spacing w:after="0" w:line="240" w:lineRule="auto"/>
        <w:rPr>
          <w:rFonts w:asciiTheme="minorHAnsi" w:hAnsiTheme="minorHAnsi" w:cs="Times New Roman"/>
          <w:b/>
          <w:bCs/>
          <w:sz w:val="20"/>
          <w:szCs w:val="20"/>
        </w:rPr>
      </w:pPr>
      <w:r w:rsidRPr="008374DE">
        <w:rPr>
          <w:rFonts w:asciiTheme="minorHAnsi" w:hAnsiTheme="minorHAnsi"/>
          <w:b/>
          <w:bCs/>
          <w:sz w:val="20"/>
          <w:szCs w:val="20"/>
        </w:rPr>
        <w:t>A3. Seasonal or cyclical factors</w:t>
      </w:r>
    </w:p>
    <w:p w:rsidR="008841D5" w:rsidRPr="008374DE" w:rsidRDefault="008841D5" w:rsidP="008841D5">
      <w:pPr>
        <w:spacing w:after="0" w:line="240" w:lineRule="auto"/>
        <w:rPr>
          <w:rFonts w:asciiTheme="minorHAnsi" w:hAnsiTheme="minorHAnsi" w:cs="Times New Roman"/>
          <w:b/>
          <w:bCs/>
          <w:sz w:val="20"/>
          <w:szCs w:val="20"/>
        </w:rPr>
      </w:pPr>
    </w:p>
    <w:p w:rsidR="008841D5" w:rsidRPr="008374DE" w:rsidRDefault="008841D5" w:rsidP="008841D5">
      <w:pPr>
        <w:spacing w:after="0" w:line="240" w:lineRule="auto"/>
        <w:rPr>
          <w:rFonts w:asciiTheme="minorHAnsi" w:hAnsiTheme="minorHAnsi" w:cs="Times New Roman"/>
          <w:sz w:val="20"/>
          <w:szCs w:val="20"/>
        </w:rPr>
      </w:pPr>
      <w:r w:rsidRPr="008374DE">
        <w:rPr>
          <w:rFonts w:asciiTheme="minorHAnsi" w:hAnsiTheme="minorHAnsi"/>
          <w:sz w:val="20"/>
          <w:szCs w:val="20"/>
        </w:rPr>
        <w:t>The Group’s operations are not materially affected by seasonal and</w:t>
      </w:r>
      <w:r w:rsidR="005D3069">
        <w:rPr>
          <w:rFonts w:asciiTheme="minorHAnsi" w:hAnsiTheme="minorHAnsi"/>
          <w:sz w:val="20"/>
          <w:szCs w:val="20"/>
        </w:rPr>
        <w:t>/or</w:t>
      </w:r>
      <w:r w:rsidRPr="008374DE">
        <w:rPr>
          <w:rFonts w:asciiTheme="minorHAnsi" w:hAnsiTheme="minorHAnsi"/>
          <w:sz w:val="20"/>
          <w:szCs w:val="20"/>
        </w:rPr>
        <w:t xml:space="preserve"> cyclical factors.</w:t>
      </w:r>
    </w:p>
    <w:p w:rsidR="008841D5" w:rsidRDefault="008841D5" w:rsidP="008841D5">
      <w:pPr>
        <w:spacing w:after="0" w:line="240" w:lineRule="auto"/>
        <w:rPr>
          <w:rFonts w:asciiTheme="minorHAnsi" w:hAnsiTheme="minorHAnsi"/>
          <w:b/>
          <w:bCs/>
          <w:sz w:val="20"/>
          <w:szCs w:val="20"/>
        </w:rPr>
      </w:pPr>
    </w:p>
    <w:p w:rsidR="008841D5" w:rsidRDefault="008841D5" w:rsidP="008841D5">
      <w:pPr>
        <w:spacing w:after="0" w:line="240" w:lineRule="auto"/>
        <w:rPr>
          <w:rFonts w:asciiTheme="minorHAnsi" w:hAnsiTheme="minorHAnsi"/>
          <w:b/>
          <w:bCs/>
          <w:sz w:val="20"/>
          <w:szCs w:val="20"/>
        </w:rPr>
      </w:pPr>
    </w:p>
    <w:p w:rsidR="003A4B91" w:rsidRDefault="003A4B91" w:rsidP="008841D5">
      <w:pPr>
        <w:spacing w:after="0" w:line="240" w:lineRule="auto"/>
        <w:rPr>
          <w:rFonts w:asciiTheme="minorHAnsi" w:hAnsiTheme="minorHAnsi"/>
          <w:b/>
          <w:bCs/>
          <w:sz w:val="20"/>
          <w:szCs w:val="20"/>
        </w:rPr>
      </w:pPr>
    </w:p>
    <w:p w:rsidR="003A4B91" w:rsidRDefault="003A4B91" w:rsidP="008841D5">
      <w:pPr>
        <w:spacing w:after="0" w:line="240" w:lineRule="auto"/>
        <w:rPr>
          <w:rFonts w:asciiTheme="minorHAnsi" w:hAnsiTheme="minorHAnsi"/>
          <w:b/>
          <w:bCs/>
          <w:sz w:val="20"/>
          <w:szCs w:val="20"/>
        </w:rPr>
      </w:pPr>
    </w:p>
    <w:p w:rsidR="003A4B91" w:rsidRDefault="003A4B91" w:rsidP="008841D5">
      <w:pPr>
        <w:spacing w:after="0" w:line="240" w:lineRule="auto"/>
        <w:rPr>
          <w:rFonts w:asciiTheme="minorHAnsi" w:hAnsiTheme="minorHAnsi"/>
          <w:b/>
          <w:bCs/>
          <w:sz w:val="20"/>
          <w:szCs w:val="20"/>
        </w:rPr>
      </w:pPr>
    </w:p>
    <w:p w:rsidR="003A4B91" w:rsidRDefault="003A4B91" w:rsidP="008841D5">
      <w:pPr>
        <w:spacing w:after="0" w:line="240" w:lineRule="auto"/>
        <w:rPr>
          <w:rFonts w:asciiTheme="minorHAnsi" w:hAnsiTheme="minorHAnsi"/>
          <w:b/>
          <w:bCs/>
          <w:sz w:val="20"/>
          <w:szCs w:val="20"/>
        </w:rPr>
      </w:pPr>
    </w:p>
    <w:p w:rsidR="003A4B91" w:rsidRPr="008374DE" w:rsidRDefault="003A4B91" w:rsidP="003A4B91">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ON CONSOLIDATED RESULTS </w:t>
      </w:r>
    </w:p>
    <w:p w:rsidR="003A4B91" w:rsidRDefault="003A4B91" w:rsidP="003A4B91">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for the </w:t>
      </w:r>
      <w:r w:rsidR="00684DDC">
        <w:rPr>
          <w:rFonts w:asciiTheme="minorHAnsi" w:hAnsiTheme="minorHAnsi"/>
          <w:b/>
          <w:bCs/>
          <w:sz w:val="20"/>
          <w:szCs w:val="20"/>
        </w:rPr>
        <w:t>Month</w:t>
      </w:r>
      <w:r w:rsidRPr="008374DE">
        <w:rPr>
          <w:rFonts w:asciiTheme="minorHAnsi" w:hAnsiTheme="minorHAnsi"/>
          <w:b/>
          <w:bCs/>
          <w:sz w:val="20"/>
          <w:szCs w:val="20"/>
        </w:rPr>
        <w:t xml:space="preserve"> Ended </w:t>
      </w:r>
      <w:r w:rsidR="00A94CA5">
        <w:rPr>
          <w:rFonts w:asciiTheme="minorHAnsi" w:hAnsiTheme="minorHAnsi"/>
          <w:b/>
          <w:bCs/>
          <w:sz w:val="20"/>
          <w:szCs w:val="20"/>
        </w:rPr>
        <w:t>3</w:t>
      </w:r>
      <w:r w:rsidR="00F64687">
        <w:rPr>
          <w:rFonts w:asciiTheme="minorHAnsi" w:hAnsiTheme="minorHAnsi"/>
          <w:b/>
          <w:bCs/>
          <w:sz w:val="20"/>
          <w:szCs w:val="20"/>
        </w:rPr>
        <w:t>1</w:t>
      </w:r>
      <w:r w:rsidR="00A94CA5">
        <w:rPr>
          <w:rFonts w:asciiTheme="minorHAnsi" w:hAnsiTheme="minorHAnsi"/>
          <w:b/>
          <w:bCs/>
          <w:sz w:val="20"/>
          <w:szCs w:val="20"/>
        </w:rPr>
        <w:t xml:space="preserve"> Ju</w:t>
      </w:r>
      <w:r w:rsidR="00F64687">
        <w:rPr>
          <w:rFonts w:asciiTheme="minorHAnsi" w:hAnsiTheme="minorHAnsi"/>
          <w:b/>
          <w:bCs/>
          <w:sz w:val="20"/>
          <w:szCs w:val="20"/>
        </w:rPr>
        <w:t>ly</w:t>
      </w:r>
      <w:r w:rsidR="00A94CA5">
        <w:rPr>
          <w:rFonts w:asciiTheme="minorHAnsi" w:hAnsiTheme="minorHAnsi"/>
          <w:b/>
          <w:bCs/>
          <w:sz w:val="20"/>
          <w:szCs w:val="20"/>
        </w:rPr>
        <w:t xml:space="preserve"> </w:t>
      </w:r>
      <w:r w:rsidR="00C33B1C">
        <w:rPr>
          <w:rFonts w:asciiTheme="minorHAnsi" w:hAnsiTheme="minorHAnsi"/>
          <w:b/>
          <w:bCs/>
          <w:sz w:val="20"/>
          <w:szCs w:val="20"/>
        </w:rPr>
        <w:t>2016</w:t>
      </w:r>
    </w:p>
    <w:p w:rsidR="003A4B91" w:rsidRDefault="003A4B91" w:rsidP="003A4B91">
      <w:pPr>
        <w:spacing w:after="0" w:line="240" w:lineRule="auto"/>
        <w:rPr>
          <w:rFonts w:asciiTheme="minorHAnsi" w:hAnsiTheme="minorHAnsi"/>
          <w:b/>
          <w:bCs/>
          <w:sz w:val="20"/>
          <w:szCs w:val="20"/>
        </w:rPr>
      </w:pPr>
    </w:p>
    <w:p w:rsidR="003A4B91" w:rsidRPr="008374DE" w:rsidRDefault="003A4B91" w:rsidP="003A4B91">
      <w:pPr>
        <w:spacing w:after="0" w:line="240" w:lineRule="auto"/>
        <w:rPr>
          <w:rFonts w:asciiTheme="minorHAnsi" w:hAnsiTheme="minorHAnsi" w:cs="Times New Roman"/>
          <w:b/>
          <w:bCs/>
          <w:sz w:val="20"/>
          <w:szCs w:val="20"/>
        </w:rPr>
      </w:pPr>
      <w:r w:rsidRPr="008374DE">
        <w:rPr>
          <w:rFonts w:asciiTheme="minorHAnsi" w:hAnsiTheme="minorHAnsi"/>
          <w:b/>
          <w:bCs/>
          <w:sz w:val="20"/>
          <w:szCs w:val="20"/>
        </w:rPr>
        <w:t>A:</w:t>
      </w:r>
      <w:r w:rsidRPr="008374DE">
        <w:rPr>
          <w:rFonts w:asciiTheme="minorHAnsi" w:hAnsiTheme="minorHAnsi" w:cs="Times New Roman"/>
          <w:b/>
          <w:bCs/>
          <w:sz w:val="20"/>
          <w:szCs w:val="20"/>
        </w:rPr>
        <w:tab/>
      </w:r>
      <w:r w:rsidRPr="008374DE">
        <w:rPr>
          <w:rFonts w:asciiTheme="minorHAnsi" w:hAnsiTheme="minorHAnsi"/>
          <w:b/>
          <w:bCs/>
          <w:sz w:val="20"/>
          <w:szCs w:val="20"/>
        </w:rPr>
        <w:t>EXPLANATORY NOTES PURSUANT TO THE FINANCIAL REPORTING STANDARDS (“FRS”) 134</w:t>
      </w:r>
      <w:r>
        <w:rPr>
          <w:rFonts w:asciiTheme="minorHAnsi" w:hAnsiTheme="minorHAnsi"/>
          <w:b/>
          <w:bCs/>
          <w:sz w:val="20"/>
          <w:szCs w:val="20"/>
        </w:rPr>
        <w:t xml:space="preserve"> (CONT’D)</w:t>
      </w:r>
    </w:p>
    <w:p w:rsidR="003A4B91" w:rsidRDefault="003A4B91" w:rsidP="003A4B91">
      <w:pPr>
        <w:spacing w:after="0" w:line="240" w:lineRule="auto"/>
        <w:rPr>
          <w:rFonts w:asciiTheme="minorHAnsi" w:hAnsiTheme="minorHAnsi"/>
          <w:b/>
          <w:bCs/>
          <w:sz w:val="20"/>
          <w:szCs w:val="20"/>
        </w:rPr>
      </w:pPr>
    </w:p>
    <w:p w:rsidR="003A4B91" w:rsidRDefault="003A4B91" w:rsidP="003A4B91">
      <w:pPr>
        <w:spacing w:after="0" w:line="240" w:lineRule="auto"/>
        <w:rPr>
          <w:rFonts w:asciiTheme="minorHAnsi" w:hAnsiTheme="minorHAnsi"/>
          <w:b/>
          <w:bCs/>
          <w:sz w:val="20"/>
          <w:szCs w:val="20"/>
        </w:rPr>
      </w:pPr>
    </w:p>
    <w:p w:rsidR="008841D5" w:rsidRPr="008374DE" w:rsidRDefault="008841D5" w:rsidP="008841D5">
      <w:pPr>
        <w:spacing w:after="0" w:line="240" w:lineRule="auto"/>
        <w:rPr>
          <w:rFonts w:asciiTheme="minorHAnsi" w:hAnsiTheme="minorHAnsi"/>
          <w:b/>
          <w:bCs/>
          <w:sz w:val="20"/>
          <w:szCs w:val="20"/>
        </w:rPr>
      </w:pPr>
      <w:r w:rsidRPr="008374DE">
        <w:rPr>
          <w:rFonts w:asciiTheme="minorHAnsi" w:hAnsiTheme="minorHAnsi"/>
          <w:b/>
          <w:bCs/>
          <w:sz w:val="20"/>
          <w:szCs w:val="20"/>
        </w:rPr>
        <w:t>A4. Unusual Items affecting assets, liabilities, equity, net income or cash flows</w:t>
      </w:r>
    </w:p>
    <w:p w:rsidR="008841D5" w:rsidRPr="008374DE" w:rsidRDefault="008841D5" w:rsidP="008841D5">
      <w:pPr>
        <w:spacing w:after="0" w:line="240" w:lineRule="auto"/>
        <w:rPr>
          <w:rFonts w:asciiTheme="minorHAnsi" w:hAnsiTheme="minorHAnsi"/>
          <w:b/>
          <w:bCs/>
          <w:sz w:val="20"/>
          <w:szCs w:val="20"/>
        </w:rPr>
      </w:pPr>
    </w:p>
    <w:p w:rsidR="0048706A" w:rsidRPr="008841D5" w:rsidRDefault="008841D5" w:rsidP="008841D5">
      <w:pPr>
        <w:spacing w:after="0" w:line="240" w:lineRule="auto"/>
        <w:jc w:val="both"/>
        <w:rPr>
          <w:rFonts w:asciiTheme="minorHAnsi" w:hAnsiTheme="minorHAnsi" w:cs="Times New Roman"/>
          <w:sz w:val="20"/>
          <w:szCs w:val="20"/>
        </w:rPr>
      </w:pPr>
      <w:r w:rsidRPr="008374DE">
        <w:rPr>
          <w:rFonts w:asciiTheme="minorHAnsi" w:hAnsiTheme="minorHAnsi"/>
          <w:sz w:val="20"/>
          <w:szCs w:val="20"/>
        </w:rPr>
        <w:t>There were no other unusual items affecting assets, liabilities, equity, net income or cash flows of the Group during the current</w:t>
      </w:r>
      <w:r>
        <w:rPr>
          <w:rFonts w:asciiTheme="minorHAnsi" w:hAnsiTheme="minorHAnsi"/>
          <w:sz w:val="20"/>
          <w:szCs w:val="20"/>
        </w:rPr>
        <w:t xml:space="preserve"> financial quarter under review.</w:t>
      </w:r>
    </w:p>
    <w:p w:rsidR="0048706A" w:rsidRDefault="0048706A" w:rsidP="0048706A">
      <w:pPr>
        <w:spacing w:after="0" w:line="240" w:lineRule="auto"/>
        <w:rPr>
          <w:rFonts w:asciiTheme="minorHAnsi" w:hAnsiTheme="minorHAnsi"/>
          <w:b/>
          <w:bCs/>
          <w:sz w:val="20"/>
          <w:szCs w:val="20"/>
        </w:rPr>
      </w:pPr>
    </w:p>
    <w:p w:rsidR="004A40C0" w:rsidRPr="008374DE" w:rsidRDefault="004A40C0" w:rsidP="00CB68FB">
      <w:pPr>
        <w:spacing w:after="0" w:line="240" w:lineRule="auto"/>
        <w:rPr>
          <w:rFonts w:asciiTheme="minorHAnsi" w:hAnsiTheme="minorHAnsi" w:cs="Times New Roman"/>
          <w:b/>
          <w:bCs/>
          <w:sz w:val="20"/>
          <w:szCs w:val="20"/>
        </w:rPr>
      </w:pPr>
      <w:r w:rsidRPr="008374DE">
        <w:rPr>
          <w:rFonts w:asciiTheme="minorHAnsi" w:hAnsiTheme="minorHAnsi"/>
          <w:b/>
          <w:bCs/>
          <w:sz w:val="20"/>
          <w:szCs w:val="20"/>
        </w:rPr>
        <w:t xml:space="preserve">A5. Material changes in estimates </w:t>
      </w:r>
    </w:p>
    <w:p w:rsidR="004A40C0" w:rsidRPr="008374DE" w:rsidRDefault="004A40C0" w:rsidP="00CB68FB">
      <w:pPr>
        <w:spacing w:after="0" w:line="240" w:lineRule="auto"/>
        <w:rPr>
          <w:rFonts w:asciiTheme="minorHAnsi" w:hAnsiTheme="minorHAnsi" w:cs="Times New Roman"/>
          <w:b/>
          <w:bCs/>
          <w:sz w:val="20"/>
          <w:szCs w:val="20"/>
        </w:rPr>
      </w:pPr>
    </w:p>
    <w:p w:rsidR="004A40C0" w:rsidRPr="008374DE" w:rsidRDefault="004A40C0" w:rsidP="00CB68FB">
      <w:pPr>
        <w:spacing w:after="0" w:line="240" w:lineRule="auto"/>
        <w:jc w:val="both"/>
        <w:rPr>
          <w:rFonts w:asciiTheme="minorHAnsi" w:hAnsiTheme="minorHAnsi"/>
          <w:sz w:val="20"/>
          <w:szCs w:val="20"/>
        </w:rPr>
      </w:pPr>
      <w:r w:rsidRPr="008374DE">
        <w:rPr>
          <w:rFonts w:asciiTheme="minorHAnsi" w:hAnsiTheme="minorHAnsi"/>
          <w:sz w:val="20"/>
          <w:szCs w:val="20"/>
        </w:rPr>
        <w:t>There were no material changes in estimates in the current financial quarter under review and financial year-to-date.</w:t>
      </w:r>
    </w:p>
    <w:p w:rsidR="004A40C0" w:rsidRDefault="004A40C0" w:rsidP="00CB68FB">
      <w:pPr>
        <w:spacing w:after="0" w:line="240" w:lineRule="auto"/>
        <w:jc w:val="both"/>
        <w:rPr>
          <w:rFonts w:asciiTheme="minorHAnsi" w:hAnsiTheme="minorHAnsi"/>
          <w:sz w:val="20"/>
          <w:szCs w:val="20"/>
        </w:rPr>
      </w:pPr>
    </w:p>
    <w:p w:rsidR="004D4E0D" w:rsidRPr="008374DE" w:rsidRDefault="004D4E0D" w:rsidP="00CB68FB">
      <w:pPr>
        <w:spacing w:after="0" w:line="240" w:lineRule="auto"/>
        <w:jc w:val="both"/>
        <w:rPr>
          <w:rFonts w:asciiTheme="minorHAnsi" w:hAnsiTheme="minorHAnsi"/>
          <w:sz w:val="20"/>
          <w:szCs w:val="20"/>
        </w:rPr>
      </w:pPr>
    </w:p>
    <w:p w:rsidR="004A40C0" w:rsidRPr="008374DE" w:rsidRDefault="004A40C0" w:rsidP="00CB68FB">
      <w:pPr>
        <w:spacing w:after="0" w:line="240" w:lineRule="auto"/>
        <w:rPr>
          <w:rFonts w:asciiTheme="minorHAnsi" w:hAnsiTheme="minorHAnsi" w:cs="Times New Roman"/>
          <w:b/>
          <w:bCs/>
          <w:sz w:val="20"/>
          <w:szCs w:val="20"/>
        </w:rPr>
      </w:pPr>
      <w:r w:rsidRPr="008374DE">
        <w:rPr>
          <w:rFonts w:asciiTheme="minorHAnsi" w:hAnsiTheme="minorHAnsi"/>
          <w:b/>
          <w:bCs/>
          <w:sz w:val="20"/>
          <w:szCs w:val="20"/>
        </w:rPr>
        <w:t>A6. Debts and equity securities</w:t>
      </w:r>
    </w:p>
    <w:p w:rsidR="004A40C0" w:rsidRPr="008374DE" w:rsidRDefault="004A40C0" w:rsidP="00CB68FB">
      <w:pPr>
        <w:spacing w:after="0" w:line="240" w:lineRule="auto"/>
        <w:rPr>
          <w:rFonts w:asciiTheme="minorHAnsi" w:hAnsiTheme="minorHAnsi" w:cs="Times New Roman"/>
          <w:b/>
          <w:bCs/>
          <w:sz w:val="20"/>
          <w:szCs w:val="20"/>
        </w:rPr>
      </w:pPr>
    </w:p>
    <w:p w:rsidR="004A40C0" w:rsidRPr="00027334" w:rsidRDefault="0048706A" w:rsidP="00027334">
      <w:pPr>
        <w:spacing w:after="0" w:line="240" w:lineRule="auto"/>
        <w:jc w:val="both"/>
        <w:rPr>
          <w:rFonts w:asciiTheme="minorHAnsi" w:hAnsiTheme="minorHAnsi"/>
          <w:sz w:val="20"/>
          <w:szCs w:val="20"/>
        </w:rPr>
      </w:pPr>
      <w:r w:rsidRPr="0048706A">
        <w:rPr>
          <w:rFonts w:asciiTheme="minorHAnsi" w:hAnsiTheme="minorHAnsi"/>
          <w:sz w:val="20"/>
          <w:szCs w:val="20"/>
        </w:rPr>
        <w:t>Save for the issuance</w:t>
      </w:r>
      <w:r w:rsidR="003B5801">
        <w:rPr>
          <w:rFonts w:asciiTheme="minorHAnsi" w:hAnsiTheme="minorHAnsi"/>
          <w:sz w:val="20"/>
          <w:szCs w:val="20"/>
        </w:rPr>
        <w:t>s</w:t>
      </w:r>
      <w:r w:rsidRPr="0048706A">
        <w:rPr>
          <w:rFonts w:asciiTheme="minorHAnsi" w:hAnsiTheme="minorHAnsi"/>
          <w:sz w:val="20"/>
          <w:szCs w:val="20"/>
        </w:rPr>
        <w:t xml:space="preserve"> of </w:t>
      </w:r>
      <w:r w:rsidRPr="00027334">
        <w:rPr>
          <w:rFonts w:asciiTheme="minorHAnsi" w:hAnsiTheme="minorHAnsi"/>
          <w:sz w:val="20"/>
          <w:szCs w:val="20"/>
        </w:rPr>
        <w:t>10,894,600</w:t>
      </w:r>
      <w:r w:rsidR="000A22C9" w:rsidRPr="00027334">
        <w:rPr>
          <w:rFonts w:asciiTheme="minorHAnsi" w:hAnsiTheme="minorHAnsi"/>
          <w:sz w:val="20"/>
          <w:szCs w:val="20"/>
        </w:rPr>
        <w:t xml:space="preserve"> new ordinary shares of RM0.10 each </w:t>
      </w:r>
      <w:r w:rsidR="0011199C" w:rsidRPr="00027334">
        <w:rPr>
          <w:rFonts w:asciiTheme="minorHAnsi" w:hAnsiTheme="minorHAnsi"/>
          <w:sz w:val="20"/>
          <w:szCs w:val="20"/>
        </w:rPr>
        <w:t>on 8 June 2015</w:t>
      </w:r>
      <w:r w:rsidR="00027334">
        <w:rPr>
          <w:rFonts w:asciiTheme="minorHAnsi" w:hAnsiTheme="minorHAnsi"/>
          <w:sz w:val="20"/>
          <w:szCs w:val="20"/>
        </w:rPr>
        <w:t>;</w:t>
      </w:r>
      <w:r w:rsidR="0011199C" w:rsidRPr="00027334">
        <w:rPr>
          <w:rFonts w:asciiTheme="minorHAnsi" w:hAnsiTheme="minorHAnsi"/>
          <w:sz w:val="20"/>
          <w:szCs w:val="20"/>
        </w:rPr>
        <w:t xml:space="preserve"> </w:t>
      </w:r>
      <w:r w:rsidR="00761790" w:rsidRPr="00027334">
        <w:rPr>
          <w:rFonts w:asciiTheme="minorHAnsi" w:hAnsiTheme="minorHAnsi"/>
          <w:sz w:val="20"/>
          <w:szCs w:val="20"/>
        </w:rPr>
        <w:t>36</w:t>
      </w:r>
      <w:r w:rsidR="00027334">
        <w:rPr>
          <w:rFonts w:asciiTheme="minorHAnsi" w:hAnsiTheme="minorHAnsi"/>
          <w:sz w:val="20"/>
          <w:szCs w:val="20"/>
        </w:rPr>
        <w:t>,</w:t>
      </w:r>
      <w:r w:rsidR="00761790" w:rsidRPr="00027334">
        <w:rPr>
          <w:rFonts w:asciiTheme="minorHAnsi" w:hAnsiTheme="minorHAnsi"/>
          <w:sz w:val="20"/>
          <w:szCs w:val="20"/>
        </w:rPr>
        <w:t>5</w:t>
      </w:r>
      <w:r w:rsidR="00027334">
        <w:rPr>
          <w:rFonts w:asciiTheme="minorHAnsi" w:hAnsiTheme="minorHAnsi"/>
          <w:sz w:val="20"/>
          <w:szCs w:val="20"/>
        </w:rPr>
        <w:t>0</w:t>
      </w:r>
      <w:r w:rsidR="00761790" w:rsidRPr="00027334">
        <w:rPr>
          <w:rFonts w:asciiTheme="minorHAnsi" w:hAnsiTheme="minorHAnsi"/>
          <w:sz w:val="20"/>
          <w:szCs w:val="20"/>
        </w:rPr>
        <w:t>0,000 new ordinary shares of RM0.10 each on 4 March 2016</w:t>
      </w:r>
      <w:r w:rsidR="00027334">
        <w:rPr>
          <w:rFonts w:asciiTheme="minorHAnsi" w:hAnsiTheme="minorHAnsi"/>
          <w:sz w:val="20"/>
          <w:szCs w:val="20"/>
        </w:rPr>
        <w:t xml:space="preserve"> </w:t>
      </w:r>
      <w:r w:rsidR="00F64687">
        <w:rPr>
          <w:rFonts w:asciiTheme="minorHAnsi" w:hAnsiTheme="minorHAnsi"/>
          <w:sz w:val="20"/>
          <w:szCs w:val="20"/>
        </w:rPr>
        <w:t xml:space="preserve">and 27,000,000 </w:t>
      </w:r>
      <w:r w:rsidR="00F64687" w:rsidRPr="00027334">
        <w:rPr>
          <w:rFonts w:asciiTheme="minorHAnsi" w:hAnsiTheme="minorHAnsi"/>
          <w:sz w:val="20"/>
          <w:szCs w:val="20"/>
        </w:rPr>
        <w:t>new ordinary shares of RM0.10 each on</w:t>
      </w:r>
      <w:r w:rsidR="00684DDC">
        <w:rPr>
          <w:rFonts w:asciiTheme="minorHAnsi" w:hAnsiTheme="minorHAnsi"/>
          <w:sz w:val="20"/>
          <w:szCs w:val="20"/>
        </w:rPr>
        <w:t xml:space="preserve"> 27 July 2016</w:t>
      </w:r>
      <w:r w:rsidR="00F64687">
        <w:rPr>
          <w:rFonts w:asciiTheme="minorHAnsi" w:hAnsiTheme="minorHAnsi"/>
          <w:sz w:val="20"/>
          <w:szCs w:val="20"/>
        </w:rPr>
        <w:t xml:space="preserve"> </w:t>
      </w:r>
      <w:r w:rsidR="00761790" w:rsidRPr="00027334">
        <w:rPr>
          <w:rFonts w:asciiTheme="minorHAnsi" w:hAnsiTheme="minorHAnsi"/>
          <w:sz w:val="20"/>
          <w:szCs w:val="20"/>
        </w:rPr>
        <w:t xml:space="preserve">in </w:t>
      </w:r>
      <w:r w:rsidR="00761790" w:rsidRPr="00027334">
        <w:rPr>
          <w:rFonts w:asciiTheme="minorHAnsi" w:hAnsiTheme="minorHAnsi" w:cstheme="minorHAnsi"/>
          <w:color w:val="000000"/>
          <w:sz w:val="20"/>
          <w:szCs w:val="20"/>
        </w:rPr>
        <w:t>SMTrack Berhad</w:t>
      </w:r>
      <w:r w:rsidR="00761790" w:rsidRPr="00027334">
        <w:rPr>
          <w:rFonts w:asciiTheme="minorHAnsi" w:hAnsiTheme="minorHAnsi" w:cstheme="minorHAnsi"/>
          <w:color w:val="000000"/>
          <w:sz w:val="16"/>
          <w:szCs w:val="16"/>
        </w:rPr>
        <w:t xml:space="preserve"> </w:t>
      </w:r>
      <w:r w:rsidR="00761790" w:rsidRPr="00027334">
        <w:rPr>
          <w:rFonts w:asciiTheme="minorHAnsi" w:hAnsiTheme="minorHAnsi" w:cstheme="minorHAnsi"/>
          <w:color w:val="000000"/>
          <w:sz w:val="20"/>
          <w:szCs w:val="20"/>
        </w:rPr>
        <w:t xml:space="preserve">respectively </w:t>
      </w:r>
      <w:r w:rsidR="000A22C9" w:rsidRPr="00027334">
        <w:rPr>
          <w:rFonts w:asciiTheme="minorHAnsi" w:hAnsiTheme="minorHAnsi"/>
          <w:sz w:val="20"/>
          <w:szCs w:val="20"/>
        </w:rPr>
        <w:t xml:space="preserve">pursuant to </w:t>
      </w:r>
      <w:r w:rsidR="006D5B4E" w:rsidRPr="00027334">
        <w:rPr>
          <w:rFonts w:asciiTheme="minorHAnsi" w:hAnsiTheme="minorHAnsi"/>
          <w:sz w:val="20"/>
          <w:szCs w:val="20"/>
        </w:rPr>
        <w:t xml:space="preserve">exercise of options under </w:t>
      </w:r>
      <w:r w:rsidR="000A22C9" w:rsidRPr="00027334">
        <w:rPr>
          <w:rFonts w:asciiTheme="minorHAnsi" w:hAnsiTheme="minorHAnsi"/>
          <w:sz w:val="20"/>
          <w:szCs w:val="20"/>
        </w:rPr>
        <w:t>the</w:t>
      </w:r>
      <w:r w:rsidR="006D5B4E" w:rsidRPr="00027334">
        <w:rPr>
          <w:rFonts w:asciiTheme="minorHAnsi" w:hAnsiTheme="minorHAnsi"/>
          <w:sz w:val="20"/>
          <w:szCs w:val="20"/>
        </w:rPr>
        <w:t xml:space="preserve"> Offer of Options under Share Issuance Scheme (“SIS”) to eligible employees,</w:t>
      </w:r>
      <w:r w:rsidR="000A22C9" w:rsidRPr="00027334">
        <w:rPr>
          <w:rFonts w:asciiTheme="minorHAnsi" w:hAnsiTheme="minorHAnsi"/>
          <w:sz w:val="20"/>
          <w:szCs w:val="20"/>
        </w:rPr>
        <w:t xml:space="preserve"> t</w:t>
      </w:r>
      <w:r w:rsidR="004A40C0" w:rsidRPr="00027334">
        <w:rPr>
          <w:rFonts w:asciiTheme="minorHAnsi" w:hAnsiTheme="minorHAnsi"/>
          <w:sz w:val="20"/>
          <w:szCs w:val="20"/>
        </w:rPr>
        <w:t xml:space="preserve">here was no </w:t>
      </w:r>
      <w:r w:rsidR="00003388">
        <w:rPr>
          <w:rFonts w:asciiTheme="minorHAnsi" w:hAnsiTheme="minorHAnsi"/>
          <w:sz w:val="20"/>
          <w:szCs w:val="20"/>
        </w:rPr>
        <w:t xml:space="preserve">other </w:t>
      </w:r>
      <w:r w:rsidR="004A40C0" w:rsidRPr="00027334">
        <w:rPr>
          <w:rFonts w:asciiTheme="minorHAnsi" w:hAnsiTheme="minorHAnsi"/>
          <w:sz w:val="20"/>
          <w:szCs w:val="20"/>
        </w:rPr>
        <w:t xml:space="preserve">issuance or repayment of debt or equity securities, share buy-backs, share cancellations, share held as treasury shares and resale of treasury shares for the current </w:t>
      </w:r>
      <w:r w:rsidR="000759C1" w:rsidRPr="00027334">
        <w:rPr>
          <w:rFonts w:asciiTheme="minorHAnsi" w:hAnsiTheme="minorHAnsi"/>
          <w:sz w:val="20"/>
          <w:szCs w:val="20"/>
        </w:rPr>
        <w:t>period-to-date</w:t>
      </w:r>
      <w:r w:rsidR="004A40C0" w:rsidRPr="00027334">
        <w:rPr>
          <w:rFonts w:asciiTheme="minorHAnsi" w:hAnsiTheme="minorHAnsi"/>
          <w:sz w:val="20"/>
          <w:szCs w:val="20"/>
        </w:rPr>
        <w:t xml:space="preserve">.  </w:t>
      </w:r>
    </w:p>
    <w:p w:rsidR="004A40C0" w:rsidRDefault="004A40C0" w:rsidP="00CB68FB">
      <w:pPr>
        <w:spacing w:after="0" w:line="240" w:lineRule="auto"/>
        <w:jc w:val="both"/>
        <w:rPr>
          <w:rFonts w:asciiTheme="minorHAnsi" w:hAnsiTheme="minorHAnsi" w:cs="Times New Roman"/>
          <w:sz w:val="20"/>
          <w:szCs w:val="20"/>
        </w:rPr>
      </w:pPr>
    </w:p>
    <w:p w:rsidR="004D4E0D" w:rsidRPr="008374DE" w:rsidRDefault="004D4E0D" w:rsidP="00CB68FB">
      <w:pPr>
        <w:spacing w:after="0" w:line="240" w:lineRule="auto"/>
        <w:jc w:val="both"/>
        <w:rPr>
          <w:rFonts w:asciiTheme="minorHAnsi" w:hAnsiTheme="minorHAnsi" w:cs="Times New Roman"/>
          <w:sz w:val="20"/>
          <w:szCs w:val="20"/>
        </w:rPr>
      </w:pPr>
    </w:p>
    <w:p w:rsidR="004A40C0" w:rsidRPr="008374DE" w:rsidRDefault="004A40C0" w:rsidP="00CB68FB">
      <w:pPr>
        <w:spacing w:after="0" w:line="240" w:lineRule="auto"/>
        <w:rPr>
          <w:rFonts w:asciiTheme="minorHAnsi" w:hAnsiTheme="minorHAnsi" w:cs="Times New Roman"/>
          <w:b/>
          <w:bCs/>
          <w:sz w:val="20"/>
          <w:szCs w:val="20"/>
        </w:rPr>
      </w:pPr>
      <w:r w:rsidRPr="008374DE">
        <w:rPr>
          <w:rFonts w:asciiTheme="minorHAnsi" w:hAnsiTheme="minorHAnsi"/>
          <w:b/>
          <w:bCs/>
          <w:sz w:val="20"/>
          <w:szCs w:val="20"/>
        </w:rPr>
        <w:t>A7. Dividends</w:t>
      </w:r>
    </w:p>
    <w:p w:rsidR="004A40C0" w:rsidRPr="008374DE" w:rsidRDefault="004A40C0" w:rsidP="00CB68FB">
      <w:pPr>
        <w:spacing w:after="0" w:line="240" w:lineRule="auto"/>
        <w:rPr>
          <w:rFonts w:asciiTheme="minorHAnsi" w:hAnsiTheme="minorHAnsi" w:cs="Times New Roman"/>
          <w:b/>
          <w:bCs/>
          <w:sz w:val="20"/>
          <w:szCs w:val="20"/>
        </w:rPr>
      </w:pPr>
    </w:p>
    <w:p w:rsidR="004A40C0" w:rsidRPr="008374DE" w:rsidRDefault="004A40C0" w:rsidP="00CB68FB">
      <w:pPr>
        <w:spacing w:after="0" w:line="240" w:lineRule="auto"/>
        <w:rPr>
          <w:rFonts w:asciiTheme="minorHAnsi" w:hAnsiTheme="minorHAnsi" w:cs="Times New Roman"/>
          <w:sz w:val="20"/>
          <w:szCs w:val="20"/>
        </w:rPr>
      </w:pPr>
      <w:r w:rsidRPr="008374DE">
        <w:rPr>
          <w:rFonts w:asciiTheme="minorHAnsi" w:hAnsiTheme="minorHAnsi"/>
          <w:sz w:val="20"/>
          <w:szCs w:val="20"/>
        </w:rPr>
        <w:t>There were no dividends paid or declared for the current financial quarter under review.</w:t>
      </w:r>
    </w:p>
    <w:p w:rsidR="004A40C0" w:rsidRDefault="004A40C0" w:rsidP="00CB68FB">
      <w:pPr>
        <w:spacing w:after="0" w:line="240" w:lineRule="auto"/>
        <w:rPr>
          <w:rFonts w:asciiTheme="minorHAnsi" w:hAnsiTheme="minorHAnsi" w:cs="Times New Roman"/>
          <w:b/>
          <w:bCs/>
          <w:sz w:val="20"/>
          <w:szCs w:val="20"/>
        </w:rPr>
      </w:pPr>
    </w:p>
    <w:p w:rsidR="00DA43BC" w:rsidRDefault="00DA43BC" w:rsidP="00CB68FB">
      <w:pPr>
        <w:spacing w:after="0" w:line="240" w:lineRule="auto"/>
        <w:rPr>
          <w:rFonts w:asciiTheme="minorHAnsi" w:hAnsiTheme="minorHAnsi" w:cs="Times New Roman"/>
          <w:b/>
          <w:bCs/>
          <w:sz w:val="20"/>
          <w:szCs w:val="20"/>
        </w:rPr>
      </w:pPr>
    </w:p>
    <w:p w:rsidR="008841D5" w:rsidRPr="008374DE" w:rsidRDefault="008841D5" w:rsidP="008841D5">
      <w:pPr>
        <w:spacing w:after="0" w:line="240" w:lineRule="auto"/>
        <w:rPr>
          <w:rFonts w:asciiTheme="minorHAnsi" w:hAnsiTheme="minorHAnsi" w:cs="Times New Roman"/>
          <w:b/>
          <w:bCs/>
          <w:sz w:val="20"/>
          <w:szCs w:val="20"/>
        </w:rPr>
      </w:pPr>
      <w:r w:rsidRPr="008374DE">
        <w:rPr>
          <w:rFonts w:asciiTheme="minorHAnsi" w:hAnsiTheme="minorHAnsi"/>
          <w:b/>
          <w:bCs/>
          <w:sz w:val="20"/>
          <w:szCs w:val="20"/>
        </w:rPr>
        <w:t>A8. Segmental Information</w:t>
      </w:r>
    </w:p>
    <w:p w:rsidR="008841D5" w:rsidRPr="008374DE" w:rsidRDefault="008841D5" w:rsidP="008841D5">
      <w:pPr>
        <w:spacing w:after="0" w:line="240" w:lineRule="auto"/>
        <w:rPr>
          <w:rFonts w:asciiTheme="minorHAnsi" w:hAnsiTheme="minorHAnsi" w:cs="Times New Roman"/>
          <w:b/>
          <w:bCs/>
          <w:sz w:val="20"/>
          <w:szCs w:val="20"/>
        </w:rPr>
      </w:pPr>
    </w:p>
    <w:p w:rsidR="008841D5" w:rsidRDefault="008841D5" w:rsidP="000206F9">
      <w:pPr>
        <w:spacing w:after="0" w:line="240" w:lineRule="auto"/>
        <w:jc w:val="both"/>
        <w:rPr>
          <w:rFonts w:asciiTheme="minorHAnsi" w:hAnsiTheme="minorHAnsi" w:cs="Times New Roman"/>
          <w:bCs/>
          <w:sz w:val="20"/>
          <w:szCs w:val="20"/>
        </w:rPr>
      </w:pPr>
      <w:r w:rsidRPr="000206F9">
        <w:rPr>
          <w:rFonts w:asciiTheme="minorHAnsi" w:hAnsiTheme="minorHAnsi" w:cs="Times New Roman"/>
          <w:bCs/>
          <w:sz w:val="20"/>
          <w:szCs w:val="20"/>
        </w:rPr>
        <w:t>The Group has</w:t>
      </w:r>
      <w:r w:rsidR="001E6FD5">
        <w:rPr>
          <w:rFonts w:asciiTheme="minorHAnsi" w:hAnsiTheme="minorHAnsi" w:cs="Times New Roman"/>
          <w:bCs/>
          <w:sz w:val="20"/>
          <w:szCs w:val="20"/>
        </w:rPr>
        <w:t xml:space="preserve"> only</w:t>
      </w:r>
      <w:r w:rsidRPr="000206F9">
        <w:rPr>
          <w:rFonts w:asciiTheme="minorHAnsi" w:hAnsiTheme="minorHAnsi" w:cs="Times New Roman"/>
          <w:bCs/>
          <w:sz w:val="20"/>
          <w:szCs w:val="20"/>
        </w:rPr>
        <w:t xml:space="preserve"> one reportable segment, which is principally engaged in the distribution, research, design and deployment of the radio frequency identification (RFID) tag and operates predominantly in one country, that is, Malaysia. Accordingly, information by operating and geographical segments on the Group’s operations as required by MFRS 8 is not presented.</w:t>
      </w:r>
    </w:p>
    <w:p w:rsidR="008841D5" w:rsidRPr="008374DE" w:rsidRDefault="008841D5" w:rsidP="000206F9">
      <w:pPr>
        <w:spacing w:after="0" w:line="240" w:lineRule="auto"/>
        <w:jc w:val="both"/>
        <w:rPr>
          <w:rFonts w:asciiTheme="minorHAnsi" w:hAnsiTheme="minorHAnsi" w:cs="Times New Roman"/>
          <w:bCs/>
          <w:sz w:val="20"/>
          <w:szCs w:val="20"/>
        </w:rPr>
      </w:pPr>
    </w:p>
    <w:p w:rsidR="008841D5" w:rsidRPr="008374DE" w:rsidRDefault="008841D5" w:rsidP="008841D5">
      <w:pPr>
        <w:spacing w:after="0" w:line="240" w:lineRule="auto"/>
        <w:jc w:val="both"/>
        <w:rPr>
          <w:rFonts w:asciiTheme="minorHAnsi" w:hAnsiTheme="minorHAnsi" w:cs="Times New Roman"/>
          <w:bCs/>
          <w:sz w:val="20"/>
          <w:szCs w:val="20"/>
        </w:rPr>
      </w:pPr>
      <w:r w:rsidRPr="008374DE">
        <w:rPr>
          <w:rFonts w:asciiTheme="minorHAnsi" w:hAnsiTheme="minorHAnsi" w:cs="Times New Roman"/>
          <w:bCs/>
          <w:sz w:val="20"/>
          <w:szCs w:val="20"/>
        </w:rPr>
        <w:t>Further information on the Group’s revenue is discussed in Section B1.</w:t>
      </w:r>
    </w:p>
    <w:p w:rsidR="008841D5" w:rsidRDefault="008841D5" w:rsidP="008841D5">
      <w:pPr>
        <w:spacing w:after="0" w:line="240" w:lineRule="auto"/>
        <w:jc w:val="both"/>
        <w:rPr>
          <w:rFonts w:asciiTheme="minorHAnsi" w:hAnsiTheme="minorHAnsi" w:cs="Times New Roman"/>
          <w:b/>
          <w:bCs/>
          <w:sz w:val="20"/>
          <w:szCs w:val="20"/>
        </w:rPr>
      </w:pPr>
    </w:p>
    <w:p w:rsidR="008841D5" w:rsidRPr="008374DE" w:rsidRDefault="008841D5" w:rsidP="008841D5">
      <w:pPr>
        <w:spacing w:after="0" w:line="240" w:lineRule="auto"/>
        <w:jc w:val="both"/>
        <w:rPr>
          <w:rFonts w:asciiTheme="minorHAnsi" w:hAnsiTheme="minorHAnsi" w:cs="Times New Roman"/>
          <w:b/>
          <w:bCs/>
          <w:sz w:val="20"/>
          <w:szCs w:val="20"/>
        </w:rPr>
      </w:pPr>
    </w:p>
    <w:p w:rsidR="008841D5" w:rsidRPr="008374DE" w:rsidRDefault="008841D5" w:rsidP="008841D5">
      <w:pPr>
        <w:spacing w:after="0" w:line="240" w:lineRule="auto"/>
        <w:jc w:val="both"/>
        <w:rPr>
          <w:rFonts w:asciiTheme="minorHAnsi" w:hAnsiTheme="minorHAnsi" w:cs="Times New Roman"/>
          <w:b/>
          <w:bCs/>
          <w:sz w:val="20"/>
          <w:szCs w:val="20"/>
        </w:rPr>
      </w:pPr>
      <w:r w:rsidRPr="008374DE">
        <w:rPr>
          <w:rFonts w:asciiTheme="minorHAnsi" w:hAnsiTheme="minorHAnsi"/>
          <w:b/>
          <w:bCs/>
          <w:sz w:val="20"/>
          <w:szCs w:val="20"/>
        </w:rPr>
        <w:t>A9. Valuation of property, plant and equipment</w:t>
      </w:r>
    </w:p>
    <w:p w:rsidR="008841D5" w:rsidRPr="008374DE" w:rsidRDefault="008841D5" w:rsidP="008841D5">
      <w:pPr>
        <w:spacing w:after="0" w:line="240" w:lineRule="auto"/>
        <w:jc w:val="both"/>
        <w:rPr>
          <w:rFonts w:asciiTheme="minorHAnsi" w:hAnsiTheme="minorHAnsi" w:cs="Times New Roman"/>
          <w:sz w:val="20"/>
          <w:szCs w:val="20"/>
        </w:rPr>
      </w:pPr>
    </w:p>
    <w:p w:rsidR="008841D5" w:rsidRPr="008374DE" w:rsidRDefault="008841D5" w:rsidP="008841D5">
      <w:pPr>
        <w:spacing w:after="0" w:line="240" w:lineRule="auto"/>
        <w:jc w:val="both"/>
        <w:rPr>
          <w:rFonts w:asciiTheme="minorHAnsi" w:hAnsiTheme="minorHAnsi" w:cs="Times New Roman"/>
          <w:sz w:val="20"/>
          <w:szCs w:val="20"/>
        </w:rPr>
      </w:pPr>
      <w:r w:rsidRPr="008374DE">
        <w:rPr>
          <w:rFonts w:asciiTheme="minorHAnsi" w:hAnsiTheme="minorHAnsi"/>
          <w:sz w:val="20"/>
          <w:szCs w:val="20"/>
        </w:rPr>
        <w:t>The Company has not carried out valuation on its property, plant and equipment in the current financial quarter under review.</w:t>
      </w:r>
      <w:r w:rsidR="00684DDC">
        <w:rPr>
          <w:rFonts w:asciiTheme="minorHAnsi" w:hAnsiTheme="minorHAnsi"/>
          <w:sz w:val="20"/>
          <w:szCs w:val="20"/>
        </w:rPr>
        <w:t xml:space="preserve"> However, the Company may carry out valuation for certain plant and equipment to ascertain the fair value of the same.</w:t>
      </w:r>
    </w:p>
    <w:p w:rsidR="008841D5" w:rsidRDefault="008841D5" w:rsidP="008841D5">
      <w:pPr>
        <w:spacing w:after="0" w:line="240" w:lineRule="auto"/>
        <w:jc w:val="both"/>
        <w:rPr>
          <w:rFonts w:asciiTheme="minorHAnsi" w:hAnsiTheme="minorHAnsi" w:cs="Times New Roman"/>
          <w:b/>
          <w:bCs/>
          <w:sz w:val="20"/>
          <w:szCs w:val="20"/>
        </w:rPr>
      </w:pPr>
    </w:p>
    <w:p w:rsidR="008841D5" w:rsidRPr="008374DE" w:rsidRDefault="008841D5" w:rsidP="008841D5">
      <w:pPr>
        <w:spacing w:after="0" w:line="240" w:lineRule="auto"/>
        <w:jc w:val="both"/>
        <w:rPr>
          <w:rFonts w:asciiTheme="minorHAnsi" w:hAnsiTheme="minorHAnsi" w:cs="Times New Roman"/>
          <w:b/>
          <w:bCs/>
          <w:sz w:val="20"/>
          <w:szCs w:val="20"/>
        </w:rPr>
      </w:pPr>
    </w:p>
    <w:p w:rsidR="008841D5" w:rsidRPr="008374DE" w:rsidRDefault="008841D5" w:rsidP="008841D5">
      <w:pPr>
        <w:spacing w:after="0" w:line="240" w:lineRule="auto"/>
        <w:jc w:val="both"/>
        <w:rPr>
          <w:rFonts w:asciiTheme="minorHAnsi" w:hAnsiTheme="minorHAnsi" w:cs="Times New Roman"/>
          <w:b/>
          <w:bCs/>
          <w:sz w:val="20"/>
          <w:szCs w:val="20"/>
        </w:rPr>
      </w:pPr>
      <w:r w:rsidRPr="008374DE">
        <w:rPr>
          <w:rFonts w:asciiTheme="minorHAnsi" w:hAnsiTheme="minorHAnsi"/>
          <w:b/>
          <w:bCs/>
          <w:sz w:val="20"/>
          <w:szCs w:val="20"/>
        </w:rPr>
        <w:t>A10. Capital commitments</w:t>
      </w:r>
    </w:p>
    <w:p w:rsidR="008841D5" w:rsidRPr="008374DE" w:rsidRDefault="008841D5" w:rsidP="008841D5">
      <w:pPr>
        <w:spacing w:after="0" w:line="240" w:lineRule="auto"/>
        <w:jc w:val="both"/>
        <w:rPr>
          <w:rFonts w:asciiTheme="minorHAnsi" w:hAnsiTheme="minorHAnsi" w:cs="Times New Roman"/>
          <w:sz w:val="20"/>
          <w:szCs w:val="20"/>
        </w:rPr>
      </w:pPr>
    </w:p>
    <w:p w:rsidR="008841D5" w:rsidRPr="008374DE" w:rsidRDefault="008841D5" w:rsidP="008841D5">
      <w:pPr>
        <w:spacing w:after="0" w:line="240" w:lineRule="auto"/>
        <w:jc w:val="both"/>
        <w:rPr>
          <w:rFonts w:asciiTheme="minorHAnsi" w:hAnsiTheme="minorHAnsi"/>
          <w:sz w:val="20"/>
          <w:szCs w:val="20"/>
        </w:rPr>
      </w:pPr>
      <w:r w:rsidRPr="008374DE">
        <w:rPr>
          <w:rFonts w:asciiTheme="minorHAnsi" w:hAnsiTheme="minorHAnsi"/>
          <w:sz w:val="20"/>
          <w:szCs w:val="20"/>
        </w:rPr>
        <w:t>There were no material capital commitments in respect of property, plant and equipment as at the current financial quarter under review.</w:t>
      </w:r>
    </w:p>
    <w:p w:rsidR="008841D5" w:rsidRDefault="008841D5" w:rsidP="008841D5">
      <w:pPr>
        <w:spacing w:after="0" w:line="240" w:lineRule="auto"/>
        <w:jc w:val="both"/>
        <w:rPr>
          <w:rFonts w:asciiTheme="minorHAnsi" w:hAnsiTheme="minorHAnsi"/>
          <w:b/>
          <w:bCs/>
          <w:sz w:val="20"/>
          <w:szCs w:val="20"/>
        </w:rPr>
      </w:pPr>
    </w:p>
    <w:p w:rsidR="00DA43BC" w:rsidRDefault="00DA43BC" w:rsidP="00CB68FB">
      <w:pPr>
        <w:spacing w:after="0" w:line="240" w:lineRule="auto"/>
        <w:rPr>
          <w:rFonts w:asciiTheme="minorHAnsi" w:hAnsiTheme="minorHAnsi" w:cs="Times New Roman"/>
          <w:b/>
          <w:bCs/>
          <w:sz w:val="20"/>
          <w:szCs w:val="20"/>
        </w:rPr>
      </w:pPr>
    </w:p>
    <w:p w:rsidR="009A6796" w:rsidRDefault="009A6796">
      <w:pPr>
        <w:spacing w:after="0" w:line="240" w:lineRule="auto"/>
        <w:rPr>
          <w:rFonts w:asciiTheme="minorHAnsi" w:hAnsiTheme="minorHAnsi"/>
          <w:b/>
          <w:bCs/>
          <w:sz w:val="20"/>
          <w:szCs w:val="20"/>
        </w:rPr>
      </w:pPr>
      <w:r>
        <w:rPr>
          <w:rFonts w:asciiTheme="minorHAnsi" w:hAnsiTheme="minorHAnsi"/>
          <w:b/>
          <w:bCs/>
          <w:sz w:val="20"/>
          <w:szCs w:val="20"/>
        </w:rPr>
        <w:br w:type="page"/>
      </w:r>
    </w:p>
    <w:p w:rsidR="008841D5" w:rsidRDefault="008841D5" w:rsidP="008841D5">
      <w:pPr>
        <w:spacing w:after="0" w:line="240" w:lineRule="auto"/>
        <w:jc w:val="both"/>
        <w:rPr>
          <w:rFonts w:asciiTheme="minorHAnsi" w:hAnsiTheme="minorHAnsi"/>
          <w:b/>
          <w:bCs/>
          <w:sz w:val="20"/>
          <w:szCs w:val="20"/>
        </w:rPr>
      </w:pPr>
    </w:p>
    <w:p w:rsidR="008841D5" w:rsidRPr="008374DE" w:rsidRDefault="008841D5" w:rsidP="008841D5">
      <w:pPr>
        <w:spacing w:after="0" w:line="240" w:lineRule="auto"/>
        <w:jc w:val="both"/>
        <w:rPr>
          <w:rFonts w:asciiTheme="minorHAnsi" w:hAnsiTheme="minorHAnsi"/>
          <w:b/>
          <w:bCs/>
          <w:sz w:val="20"/>
          <w:szCs w:val="20"/>
        </w:rPr>
      </w:pPr>
    </w:p>
    <w:p w:rsidR="002B29B7" w:rsidRPr="008374DE" w:rsidRDefault="002B29B7" w:rsidP="002B29B7">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ON CONSOLIDATED RESULTS </w:t>
      </w:r>
    </w:p>
    <w:p w:rsidR="002B29B7" w:rsidRDefault="0087039E" w:rsidP="002B29B7">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for the </w:t>
      </w:r>
      <w:r w:rsidR="00551FBB">
        <w:rPr>
          <w:rFonts w:asciiTheme="minorHAnsi" w:hAnsiTheme="minorHAnsi"/>
          <w:b/>
          <w:bCs/>
          <w:sz w:val="20"/>
          <w:szCs w:val="20"/>
        </w:rPr>
        <w:t>Month</w:t>
      </w:r>
      <w:r w:rsidRPr="008374DE">
        <w:rPr>
          <w:rFonts w:asciiTheme="minorHAnsi" w:hAnsiTheme="minorHAnsi"/>
          <w:b/>
          <w:bCs/>
          <w:sz w:val="20"/>
          <w:szCs w:val="20"/>
        </w:rPr>
        <w:t xml:space="preserve"> Ended </w:t>
      </w:r>
      <w:r w:rsidR="00A94CA5">
        <w:rPr>
          <w:rFonts w:asciiTheme="minorHAnsi" w:hAnsiTheme="minorHAnsi"/>
          <w:b/>
          <w:bCs/>
          <w:sz w:val="20"/>
          <w:szCs w:val="20"/>
        </w:rPr>
        <w:t>3</w:t>
      </w:r>
      <w:r w:rsidR="00551FBB">
        <w:rPr>
          <w:rFonts w:asciiTheme="minorHAnsi" w:hAnsiTheme="minorHAnsi"/>
          <w:b/>
          <w:bCs/>
          <w:sz w:val="20"/>
          <w:szCs w:val="20"/>
        </w:rPr>
        <w:t>1 July</w:t>
      </w:r>
      <w:r w:rsidR="00A94CA5">
        <w:rPr>
          <w:rFonts w:asciiTheme="minorHAnsi" w:hAnsiTheme="minorHAnsi"/>
          <w:b/>
          <w:bCs/>
          <w:sz w:val="20"/>
          <w:szCs w:val="20"/>
        </w:rPr>
        <w:t xml:space="preserve"> </w:t>
      </w:r>
      <w:r w:rsidR="00C33B1C">
        <w:rPr>
          <w:rFonts w:asciiTheme="minorHAnsi" w:hAnsiTheme="minorHAnsi"/>
          <w:b/>
          <w:bCs/>
          <w:sz w:val="20"/>
          <w:szCs w:val="20"/>
        </w:rPr>
        <w:t>2016</w:t>
      </w:r>
    </w:p>
    <w:p w:rsidR="002B29B7" w:rsidRPr="008374DE" w:rsidRDefault="002B29B7" w:rsidP="002B29B7">
      <w:pPr>
        <w:spacing w:after="0" w:line="240" w:lineRule="auto"/>
        <w:rPr>
          <w:rFonts w:asciiTheme="minorHAnsi" w:hAnsiTheme="minorHAnsi" w:cs="Times New Roman"/>
          <w:b/>
          <w:bCs/>
          <w:sz w:val="20"/>
          <w:szCs w:val="20"/>
        </w:rPr>
      </w:pPr>
      <w:r w:rsidRPr="008374DE">
        <w:rPr>
          <w:rFonts w:asciiTheme="minorHAnsi" w:hAnsiTheme="minorHAnsi"/>
          <w:b/>
          <w:bCs/>
          <w:sz w:val="20"/>
          <w:szCs w:val="20"/>
        </w:rPr>
        <w:t>A:</w:t>
      </w:r>
      <w:r w:rsidRPr="008374DE">
        <w:rPr>
          <w:rFonts w:asciiTheme="minorHAnsi" w:hAnsiTheme="minorHAnsi" w:cs="Times New Roman"/>
          <w:b/>
          <w:bCs/>
          <w:sz w:val="20"/>
          <w:szCs w:val="20"/>
        </w:rPr>
        <w:tab/>
      </w:r>
      <w:r w:rsidRPr="008374DE">
        <w:rPr>
          <w:rFonts w:asciiTheme="minorHAnsi" w:hAnsiTheme="minorHAnsi"/>
          <w:b/>
          <w:bCs/>
          <w:sz w:val="20"/>
          <w:szCs w:val="20"/>
        </w:rPr>
        <w:t>EXPLANATORY NOTES PURSUANT TO THE FINANCIAL REPORTING STANDARDS (“FRS”) 134</w:t>
      </w:r>
      <w:r w:rsidR="001252F9">
        <w:rPr>
          <w:rFonts w:asciiTheme="minorHAnsi" w:hAnsiTheme="minorHAnsi"/>
          <w:b/>
          <w:bCs/>
          <w:sz w:val="20"/>
          <w:szCs w:val="20"/>
        </w:rPr>
        <w:t xml:space="preserve"> (CONT’D)</w:t>
      </w:r>
    </w:p>
    <w:p w:rsidR="009A6796" w:rsidRDefault="009A6796" w:rsidP="009A6796">
      <w:pPr>
        <w:spacing w:after="0" w:line="240" w:lineRule="auto"/>
        <w:jc w:val="both"/>
        <w:rPr>
          <w:rFonts w:asciiTheme="minorHAnsi" w:hAnsiTheme="minorHAnsi"/>
          <w:b/>
          <w:bCs/>
          <w:sz w:val="20"/>
          <w:szCs w:val="20"/>
        </w:rPr>
      </w:pPr>
    </w:p>
    <w:p w:rsidR="009A6796" w:rsidRPr="008374DE" w:rsidRDefault="009A6796" w:rsidP="009A6796">
      <w:pPr>
        <w:spacing w:after="0" w:line="240" w:lineRule="auto"/>
        <w:jc w:val="both"/>
        <w:rPr>
          <w:rFonts w:asciiTheme="minorHAnsi" w:hAnsiTheme="minorHAnsi" w:cs="Times New Roman"/>
          <w:b/>
          <w:bCs/>
          <w:sz w:val="20"/>
          <w:szCs w:val="20"/>
        </w:rPr>
      </w:pPr>
      <w:r w:rsidRPr="008374DE">
        <w:rPr>
          <w:rFonts w:asciiTheme="minorHAnsi" w:hAnsiTheme="minorHAnsi"/>
          <w:b/>
          <w:bCs/>
          <w:sz w:val="20"/>
          <w:szCs w:val="20"/>
        </w:rPr>
        <w:t>A11. Other commitments</w:t>
      </w:r>
    </w:p>
    <w:p w:rsidR="009A6796" w:rsidRPr="008374DE" w:rsidRDefault="009A6796" w:rsidP="009A6796">
      <w:pPr>
        <w:spacing w:after="0" w:line="240" w:lineRule="auto"/>
        <w:jc w:val="both"/>
        <w:rPr>
          <w:rFonts w:asciiTheme="minorHAnsi" w:hAnsiTheme="minorHAnsi" w:cs="Times New Roman"/>
          <w:sz w:val="20"/>
          <w:szCs w:val="20"/>
        </w:rPr>
      </w:pPr>
    </w:p>
    <w:p w:rsidR="009A6796" w:rsidRPr="008374DE" w:rsidRDefault="009A6796" w:rsidP="009A6796">
      <w:pPr>
        <w:spacing w:after="0" w:line="240" w:lineRule="auto"/>
        <w:jc w:val="both"/>
        <w:rPr>
          <w:rFonts w:asciiTheme="minorHAnsi" w:hAnsiTheme="minorHAnsi" w:cs="Times New Roman"/>
          <w:b/>
          <w:bCs/>
          <w:sz w:val="20"/>
          <w:szCs w:val="20"/>
        </w:rPr>
      </w:pPr>
      <w:r w:rsidRPr="008374DE">
        <w:rPr>
          <w:rFonts w:asciiTheme="minorHAnsi" w:hAnsiTheme="minorHAnsi"/>
          <w:sz w:val="20"/>
          <w:szCs w:val="20"/>
        </w:rPr>
        <w:t xml:space="preserve">There were no material </w:t>
      </w:r>
      <w:r>
        <w:rPr>
          <w:rFonts w:asciiTheme="minorHAnsi" w:hAnsiTheme="minorHAnsi"/>
          <w:sz w:val="20"/>
          <w:szCs w:val="20"/>
        </w:rPr>
        <w:t xml:space="preserve">other </w:t>
      </w:r>
      <w:r w:rsidRPr="008374DE">
        <w:rPr>
          <w:rFonts w:asciiTheme="minorHAnsi" w:hAnsiTheme="minorHAnsi"/>
          <w:sz w:val="20"/>
          <w:szCs w:val="20"/>
        </w:rPr>
        <w:t>commitments as at the current financial quarter under review.</w:t>
      </w:r>
    </w:p>
    <w:p w:rsidR="002B29B7" w:rsidRDefault="002B29B7" w:rsidP="00CB68FB">
      <w:pPr>
        <w:spacing w:after="0" w:line="240" w:lineRule="auto"/>
        <w:rPr>
          <w:rFonts w:asciiTheme="minorHAnsi" w:hAnsiTheme="minorHAnsi" w:cs="Times New Roman"/>
          <w:b/>
          <w:bCs/>
          <w:sz w:val="20"/>
          <w:szCs w:val="20"/>
        </w:rPr>
      </w:pPr>
    </w:p>
    <w:p w:rsidR="00A82A70" w:rsidRDefault="00A82A70" w:rsidP="00CB68FB">
      <w:pPr>
        <w:spacing w:after="0" w:line="240" w:lineRule="auto"/>
        <w:rPr>
          <w:rFonts w:asciiTheme="minorHAnsi" w:hAnsiTheme="minorHAnsi" w:cs="Times New Roman"/>
          <w:b/>
          <w:bCs/>
          <w:sz w:val="20"/>
          <w:szCs w:val="20"/>
        </w:rPr>
      </w:pPr>
    </w:p>
    <w:p w:rsidR="0098786A" w:rsidRPr="0098786A" w:rsidRDefault="0098786A" w:rsidP="0098786A">
      <w:pPr>
        <w:spacing w:after="0" w:line="240" w:lineRule="auto"/>
        <w:jc w:val="both"/>
        <w:rPr>
          <w:rFonts w:asciiTheme="minorHAnsi" w:hAnsiTheme="minorHAnsi"/>
          <w:b/>
          <w:bCs/>
          <w:sz w:val="20"/>
          <w:szCs w:val="20"/>
        </w:rPr>
      </w:pPr>
      <w:r w:rsidRPr="0098786A">
        <w:rPr>
          <w:rFonts w:asciiTheme="minorHAnsi" w:hAnsiTheme="minorHAnsi"/>
          <w:b/>
          <w:bCs/>
          <w:sz w:val="20"/>
          <w:szCs w:val="20"/>
        </w:rPr>
        <w:t>A12. Changes in the composition of the Group</w:t>
      </w:r>
    </w:p>
    <w:p w:rsidR="0098786A" w:rsidRPr="0098786A" w:rsidRDefault="0098786A" w:rsidP="0098786A">
      <w:pPr>
        <w:spacing w:after="0" w:line="240" w:lineRule="auto"/>
        <w:jc w:val="both"/>
        <w:rPr>
          <w:rFonts w:asciiTheme="minorHAnsi" w:hAnsiTheme="minorHAnsi"/>
          <w:b/>
          <w:bCs/>
          <w:sz w:val="20"/>
          <w:szCs w:val="20"/>
        </w:rPr>
      </w:pPr>
    </w:p>
    <w:p w:rsidR="0098786A" w:rsidRPr="0098786A" w:rsidRDefault="0098786A" w:rsidP="0098786A">
      <w:pPr>
        <w:spacing w:after="0" w:line="240" w:lineRule="auto"/>
        <w:jc w:val="both"/>
        <w:rPr>
          <w:rFonts w:asciiTheme="minorHAnsi" w:hAnsiTheme="minorHAnsi"/>
          <w:bCs/>
          <w:sz w:val="20"/>
          <w:szCs w:val="20"/>
        </w:rPr>
      </w:pPr>
      <w:r w:rsidRPr="0098786A">
        <w:rPr>
          <w:rFonts w:asciiTheme="minorHAnsi" w:hAnsiTheme="minorHAnsi"/>
          <w:bCs/>
          <w:sz w:val="20"/>
          <w:szCs w:val="20"/>
        </w:rPr>
        <w:t>The changes in composition of the Group during the current quarter under review are as follows:</w:t>
      </w:r>
    </w:p>
    <w:p w:rsidR="0098786A" w:rsidRPr="0098786A" w:rsidRDefault="0098786A" w:rsidP="0098786A">
      <w:pPr>
        <w:spacing w:after="0" w:line="240" w:lineRule="auto"/>
        <w:jc w:val="both"/>
        <w:rPr>
          <w:rFonts w:asciiTheme="minorHAnsi" w:hAnsiTheme="minorHAnsi"/>
          <w:bCs/>
          <w:sz w:val="20"/>
          <w:szCs w:val="20"/>
        </w:rPr>
      </w:pPr>
    </w:p>
    <w:p w:rsidR="004D4E0D" w:rsidRDefault="003F57A6" w:rsidP="00C41B38">
      <w:pPr>
        <w:pStyle w:val="ListParagraph"/>
        <w:numPr>
          <w:ilvl w:val="0"/>
          <w:numId w:val="33"/>
        </w:numPr>
        <w:ind w:left="284" w:hanging="284"/>
        <w:jc w:val="both"/>
        <w:rPr>
          <w:rFonts w:asciiTheme="minorHAnsi" w:hAnsiTheme="minorHAnsi"/>
          <w:bCs/>
          <w:sz w:val="20"/>
          <w:szCs w:val="20"/>
        </w:rPr>
      </w:pPr>
      <w:r>
        <w:rPr>
          <w:rFonts w:asciiTheme="minorHAnsi" w:hAnsiTheme="minorHAnsi"/>
          <w:bCs/>
          <w:sz w:val="20"/>
          <w:szCs w:val="20"/>
        </w:rPr>
        <w:t>On 9 September 2015,</w:t>
      </w:r>
      <w:r w:rsidR="0098786A" w:rsidRPr="00C41B38">
        <w:rPr>
          <w:rFonts w:asciiTheme="minorHAnsi" w:hAnsiTheme="minorHAnsi"/>
          <w:bCs/>
          <w:sz w:val="20"/>
          <w:szCs w:val="20"/>
        </w:rPr>
        <w:t xml:space="preserve"> the Board of Directors announced to Bursa Malaysia that the Company’s equity interest in Smartag International Inc. ("SII"), a 94.01% owned subsidiary company of the Company, had been diluted from 94.01% to 31.61% as a result of issuance of restricted common stocks in SII to new shareholders. Following the dilution, SII ceased to be a subsidiary and bec</w:t>
      </w:r>
      <w:r w:rsidR="00E6675D">
        <w:rPr>
          <w:rFonts w:asciiTheme="minorHAnsi" w:hAnsiTheme="minorHAnsi"/>
          <w:bCs/>
          <w:sz w:val="20"/>
          <w:szCs w:val="20"/>
        </w:rPr>
        <w:t>a</w:t>
      </w:r>
      <w:r w:rsidR="0098786A" w:rsidRPr="00C41B38">
        <w:rPr>
          <w:rFonts w:asciiTheme="minorHAnsi" w:hAnsiTheme="minorHAnsi"/>
          <w:bCs/>
          <w:sz w:val="20"/>
          <w:szCs w:val="20"/>
        </w:rPr>
        <w:t>me a 31.61% owned associate</w:t>
      </w:r>
      <w:r w:rsidR="00A36CFD">
        <w:rPr>
          <w:rFonts w:asciiTheme="minorHAnsi" w:hAnsiTheme="minorHAnsi"/>
          <w:bCs/>
          <w:sz w:val="20"/>
          <w:szCs w:val="20"/>
        </w:rPr>
        <w:t xml:space="preserve"> </w:t>
      </w:r>
      <w:r w:rsidR="0098786A" w:rsidRPr="00C41B38">
        <w:rPr>
          <w:rFonts w:asciiTheme="minorHAnsi" w:hAnsiTheme="minorHAnsi"/>
          <w:bCs/>
          <w:sz w:val="20"/>
          <w:szCs w:val="20"/>
        </w:rPr>
        <w:t>company of the Company.</w:t>
      </w:r>
    </w:p>
    <w:p w:rsidR="009C4E4D" w:rsidRDefault="009C4E4D" w:rsidP="009C4E4D">
      <w:pPr>
        <w:pStyle w:val="ListParagraph"/>
        <w:ind w:left="284"/>
        <w:jc w:val="both"/>
        <w:rPr>
          <w:rFonts w:asciiTheme="minorHAnsi" w:hAnsiTheme="minorHAnsi"/>
          <w:bCs/>
          <w:sz w:val="20"/>
          <w:szCs w:val="20"/>
        </w:rPr>
      </w:pPr>
    </w:p>
    <w:p w:rsidR="009C4E4D" w:rsidRPr="000F04AE" w:rsidRDefault="009C4E4D" w:rsidP="009C4E4D">
      <w:pPr>
        <w:pStyle w:val="ListParagraph"/>
        <w:ind w:left="270"/>
        <w:jc w:val="both"/>
        <w:rPr>
          <w:rFonts w:asciiTheme="minorHAnsi" w:hAnsiTheme="minorHAnsi" w:cstheme="minorHAnsi"/>
          <w:color w:val="000000"/>
          <w:sz w:val="20"/>
          <w:szCs w:val="20"/>
          <w:shd w:val="clear" w:color="auto" w:fill="FFFFFF"/>
        </w:rPr>
      </w:pPr>
      <w:r>
        <w:rPr>
          <w:rFonts w:asciiTheme="minorHAnsi" w:hAnsiTheme="minorHAnsi" w:cs="Arial"/>
          <w:color w:val="000000"/>
          <w:sz w:val="20"/>
          <w:szCs w:val="20"/>
          <w:shd w:val="clear" w:color="auto" w:fill="FFFFFF"/>
        </w:rPr>
        <w:t>On 30</w:t>
      </w:r>
      <w:r w:rsidRPr="000F04AE">
        <w:rPr>
          <w:rFonts w:asciiTheme="minorHAnsi" w:hAnsiTheme="minorHAnsi" w:cstheme="minorHAnsi"/>
          <w:color w:val="000000"/>
          <w:sz w:val="20"/>
          <w:szCs w:val="20"/>
          <w:shd w:val="clear" w:color="auto" w:fill="FFFFFF"/>
        </w:rPr>
        <w:t xml:space="preserve"> March 2016</w:t>
      </w:r>
      <w:r>
        <w:rPr>
          <w:rFonts w:asciiTheme="minorHAnsi" w:hAnsiTheme="minorHAnsi" w:cs="Arial"/>
          <w:color w:val="000000"/>
          <w:sz w:val="20"/>
          <w:szCs w:val="20"/>
          <w:shd w:val="clear" w:color="auto" w:fill="FFFFFF"/>
        </w:rPr>
        <w:t xml:space="preserve">, the Board of Directors announced to Bursa Malaysia that the Company </w:t>
      </w:r>
      <w:r w:rsidRPr="000F04AE">
        <w:rPr>
          <w:rFonts w:asciiTheme="minorHAnsi" w:hAnsiTheme="minorHAnsi" w:cstheme="minorHAnsi"/>
          <w:color w:val="000000"/>
          <w:sz w:val="20"/>
          <w:szCs w:val="20"/>
          <w:shd w:val="clear" w:color="auto" w:fill="FFFFFF"/>
        </w:rPr>
        <w:t>disposed its entire 31.61% equity interest amounting to 10 million ordinary shares in Smartag International Inc. (“SII”)</w:t>
      </w:r>
      <w:r>
        <w:rPr>
          <w:rStyle w:val="apple-converted-space"/>
          <w:rFonts w:ascii="Arial" w:hAnsi="Arial" w:cs="Arial"/>
          <w:color w:val="000000"/>
          <w:sz w:val="18"/>
          <w:szCs w:val="18"/>
          <w:shd w:val="clear" w:color="auto" w:fill="FFFFFF"/>
        </w:rPr>
        <w:t> </w:t>
      </w:r>
      <w:r w:rsidRPr="000F04AE">
        <w:rPr>
          <w:rFonts w:asciiTheme="minorHAnsi" w:hAnsiTheme="minorHAnsi" w:cstheme="minorHAnsi"/>
          <w:color w:val="000000"/>
          <w:sz w:val="20"/>
          <w:szCs w:val="20"/>
          <w:shd w:val="clear" w:color="auto" w:fill="FFFFFF"/>
        </w:rPr>
        <w:t xml:space="preserve">at a prevailing market price of USD0.0006 cents per share quoted on the Over-The-Counter (“OTC”) market in the United States for a total consideration of USD6,000 on 29 March 2016 (at the date of the United States) (“the Disposal”). Following the disposal, SII ceased to be an associate company of </w:t>
      </w:r>
      <w:r>
        <w:rPr>
          <w:rFonts w:asciiTheme="minorHAnsi" w:hAnsiTheme="minorHAnsi" w:cstheme="minorHAnsi"/>
          <w:color w:val="000000"/>
          <w:sz w:val="20"/>
          <w:szCs w:val="20"/>
          <w:shd w:val="clear" w:color="auto" w:fill="FFFFFF"/>
        </w:rPr>
        <w:t>the Company</w:t>
      </w:r>
      <w:r w:rsidRPr="000F04AE">
        <w:rPr>
          <w:rFonts w:asciiTheme="minorHAnsi" w:hAnsiTheme="minorHAnsi" w:cstheme="minorHAnsi"/>
          <w:color w:val="000000"/>
          <w:sz w:val="20"/>
          <w:szCs w:val="20"/>
          <w:shd w:val="clear" w:color="auto" w:fill="FFFFFF"/>
        </w:rPr>
        <w:t>.</w:t>
      </w:r>
    </w:p>
    <w:p w:rsidR="009C4E4D" w:rsidRDefault="009C4E4D" w:rsidP="009C4E4D">
      <w:pPr>
        <w:pStyle w:val="ListParagraph"/>
        <w:ind w:left="284"/>
        <w:jc w:val="both"/>
        <w:rPr>
          <w:rFonts w:asciiTheme="minorHAnsi" w:hAnsiTheme="minorHAnsi"/>
          <w:bCs/>
          <w:sz w:val="20"/>
          <w:szCs w:val="20"/>
        </w:rPr>
      </w:pPr>
    </w:p>
    <w:p w:rsidR="008E0418" w:rsidRDefault="008E0418" w:rsidP="008E0418">
      <w:pPr>
        <w:pStyle w:val="ListParagraph"/>
        <w:ind w:left="284"/>
        <w:jc w:val="both"/>
        <w:rPr>
          <w:rFonts w:asciiTheme="minorHAnsi" w:hAnsiTheme="minorHAnsi"/>
          <w:bCs/>
          <w:sz w:val="20"/>
          <w:szCs w:val="20"/>
        </w:rPr>
      </w:pPr>
    </w:p>
    <w:p w:rsidR="008E0418" w:rsidRDefault="008E0418" w:rsidP="008E0418">
      <w:pPr>
        <w:pStyle w:val="ListParagraph"/>
        <w:numPr>
          <w:ilvl w:val="0"/>
          <w:numId w:val="33"/>
        </w:numPr>
        <w:ind w:left="270" w:hanging="270"/>
        <w:jc w:val="both"/>
        <w:rPr>
          <w:rFonts w:asciiTheme="minorHAnsi" w:hAnsiTheme="minorHAnsi" w:cs="Arial"/>
          <w:color w:val="000000"/>
          <w:sz w:val="20"/>
          <w:szCs w:val="20"/>
          <w:shd w:val="clear" w:color="auto" w:fill="FFFFFF"/>
        </w:rPr>
      </w:pPr>
      <w:r>
        <w:rPr>
          <w:rFonts w:asciiTheme="minorHAnsi" w:hAnsiTheme="minorHAnsi" w:cs="Arial"/>
          <w:color w:val="000000"/>
          <w:sz w:val="20"/>
          <w:szCs w:val="20"/>
          <w:shd w:val="clear" w:color="auto" w:fill="FFFFFF"/>
        </w:rPr>
        <w:t>On 11 November 2015, the Board of Directors announced to Bursa Malaysia that the Company entered into a Sale and Purchase Agreement with Sun Bright International Holding Limited for the disposal of the entire issued and paid-up share capital of LEYS International Limited, a wholly-owned subsidiary of the Company, comprising 2 ordinary shares of HKD1.00 each, for the share transfer price of HKD2.00. Following the disposal, LEYS International Limited ceased to be a subsidiary of the Company.</w:t>
      </w:r>
    </w:p>
    <w:p w:rsidR="008E0418" w:rsidRPr="00C41B38" w:rsidRDefault="008E0418" w:rsidP="008E0418">
      <w:pPr>
        <w:pStyle w:val="ListParagraph"/>
        <w:ind w:left="284"/>
        <w:jc w:val="both"/>
        <w:rPr>
          <w:rFonts w:asciiTheme="minorHAnsi" w:hAnsiTheme="minorHAnsi"/>
          <w:bCs/>
          <w:sz w:val="20"/>
          <w:szCs w:val="20"/>
        </w:rPr>
      </w:pPr>
    </w:p>
    <w:p w:rsidR="0098786A" w:rsidRDefault="0098786A" w:rsidP="0098786A">
      <w:pPr>
        <w:spacing w:after="0" w:line="240" w:lineRule="auto"/>
        <w:jc w:val="both"/>
        <w:rPr>
          <w:rFonts w:asciiTheme="minorHAnsi" w:hAnsiTheme="minorHAnsi"/>
          <w:b/>
          <w:bCs/>
          <w:sz w:val="20"/>
          <w:szCs w:val="20"/>
        </w:rPr>
      </w:pPr>
    </w:p>
    <w:p w:rsidR="0098786A" w:rsidRDefault="0098786A" w:rsidP="0098786A">
      <w:pPr>
        <w:spacing w:after="0" w:line="240" w:lineRule="auto"/>
        <w:jc w:val="both"/>
        <w:rPr>
          <w:rFonts w:asciiTheme="minorHAnsi" w:hAnsiTheme="minorHAnsi"/>
          <w:b/>
          <w:bCs/>
          <w:sz w:val="20"/>
          <w:szCs w:val="20"/>
        </w:rPr>
      </w:pPr>
    </w:p>
    <w:p w:rsidR="004A40C0" w:rsidRPr="008374DE" w:rsidRDefault="004A40C0" w:rsidP="00CB68FB">
      <w:pPr>
        <w:spacing w:after="0" w:line="240" w:lineRule="auto"/>
        <w:jc w:val="both"/>
        <w:rPr>
          <w:rFonts w:asciiTheme="minorHAnsi" w:hAnsiTheme="minorHAnsi" w:cs="Times New Roman"/>
          <w:b/>
          <w:bCs/>
          <w:sz w:val="20"/>
          <w:szCs w:val="20"/>
        </w:rPr>
      </w:pPr>
      <w:r w:rsidRPr="008374DE">
        <w:rPr>
          <w:rFonts w:asciiTheme="minorHAnsi" w:hAnsiTheme="minorHAnsi"/>
          <w:b/>
          <w:bCs/>
          <w:sz w:val="20"/>
          <w:szCs w:val="20"/>
        </w:rPr>
        <w:t>A13. Contingent assets or liabilities</w:t>
      </w:r>
    </w:p>
    <w:p w:rsidR="004A40C0" w:rsidRPr="008374DE" w:rsidRDefault="004A40C0" w:rsidP="00CB68FB">
      <w:pPr>
        <w:spacing w:after="0" w:line="240" w:lineRule="auto"/>
        <w:jc w:val="both"/>
        <w:rPr>
          <w:rFonts w:asciiTheme="minorHAnsi" w:hAnsiTheme="minorHAnsi" w:cs="Times New Roman"/>
          <w:sz w:val="20"/>
          <w:szCs w:val="20"/>
        </w:rPr>
      </w:pPr>
    </w:p>
    <w:p w:rsidR="004A40C0" w:rsidRPr="008374DE" w:rsidRDefault="00B1352C" w:rsidP="00CB68FB">
      <w:pPr>
        <w:spacing w:after="0" w:line="240" w:lineRule="auto"/>
        <w:jc w:val="both"/>
        <w:rPr>
          <w:rFonts w:asciiTheme="minorHAnsi" w:hAnsiTheme="minorHAnsi"/>
          <w:sz w:val="20"/>
          <w:szCs w:val="20"/>
        </w:rPr>
      </w:pPr>
      <w:r>
        <w:rPr>
          <w:rFonts w:asciiTheme="minorHAnsi" w:hAnsiTheme="minorHAnsi"/>
          <w:sz w:val="20"/>
          <w:szCs w:val="20"/>
        </w:rPr>
        <w:t>Save as disclosed in the quarterly reports, t</w:t>
      </w:r>
      <w:r w:rsidR="004A40C0" w:rsidRPr="008374DE">
        <w:rPr>
          <w:rFonts w:asciiTheme="minorHAnsi" w:hAnsiTheme="minorHAnsi"/>
          <w:sz w:val="20"/>
          <w:szCs w:val="20"/>
        </w:rPr>
        <w:t xml:space="preserve">he Directors are of the opinion that the Group has no contingent liabilities which, upon crystallisation would have a material impact on the financial position and business </w:t>
      </w:r>
      <w:r w:rsidR="00995B61">
        <w:rPr>
          <w:rFonts w:asciiTheme="minorHAnsi" w:hAnsiTheme="minorHAnsi"/>
          <w:sz w:val="20"/>
          <w:szCs w:val="20"/>
        </w:rPr>
        <w:t xml:space="preserve">performance </w:t>
      </w:r>
      <w:r w:rsidR="004A40C0" w:rsidRPr="008374DE">
        <w:rPr>
          <w:rFonts w:asciiTheme="minorHAnsi" w:hAnsiTheme="minorHAnsi"/>
          <w:sz w:val="20"/>
          <w:szCs w:val="20"/>
        </w:rPr>
        <w:t xml:space="preserve">of the Group as at reporting date. </w:t>
      </w:r>
    </w:p>
    <w:p w:rsidR="004A40C0" w:rsidRDefault="004A40C0" w:rsidP="00CB68FB">
      <w:pPr>
        <w:spacing w:after="0" w:line="240" w:lineRule="auto"/>
        <w:jc w:val="both"/>
        <w:rPr>
          <w:rFonts w:asciiTheme="minorHAnsi" w:hAnsiTheme="minorHAnsi" w:cs="Times New Roman"/>
          <w:b/>
          <w:bCs/>
          <w:sz w:val="20"/>
          <w:szCs w:val="20"/>
        </w:rPr>
      </w:pPr>
    </w:p>
    <w:p w:rsidR="004D4E0D" w:rsidRPr="008374DE" w:rsidRDefault="004D4E0D" w:rsidP="00CB68FB">
      <w:pPr>
        <w:spacing w:after="0" w:line="240" w:lineRule="auto"/>
        <w:jc w:val="both"/>
        <w:rPr>
          <w:rFonts w:asciiTheme="minorHAnsi" w:hAnsiTheme="minorHAnsi" w:cs="Times New Roman"/>
          <w:b/>
          <w:bCs/>
          <w:sz w:val="20"/>
          <w:szCs w:val="20"/>
        </w:rPr>
      </w:pPr>
    </w:p>
    <w:p w:rsidR="004A40C0" w:rsidRPr="008374DE" w:rsidRDefault="004A40C0" w:rsidP="00CB68FB">
      <w:pPr>
        <w:spacing w:after="0" w:line="240" w:lineRule="auto"/>
        <w:jc w:val="both"/>
        <w:rPr>
          <w:rFonts w:asciiTheme="minorHAnsi" w:hAnsiTheme="minorHAnsi"/>
          <w:b/>
          <w:bCs/>
          <w:sz w:val="20"/>
          <w:szCs w:val="20"/>
        </w:rPr>
      </w:pPr>
      <w:r w:rsidRPr="008374DE">
        <w:rPr>
          <w:rFonts w:asciiTheme="minorHAnsi" w:hAnsiTheme="minorHAnsi"/>
          <w:b/>
          <w:bCs/>
          <w:sz w:val="20"/>
          <w:szCs w:val="20"/>
        </w:rPr>
        <w:t xml:space="preserve">A14. Material events subsequent to the end of the quarter </w:t>
      </w:r>
    </w:p>
    <w:p w:rsidR="004A40C0" w:rsidRDefault="004A40C0" w:rsidP="00CB68FB">
      <w:pPr>
        <w:spacing w:after="0" w:line="240" w:lineRule="auto"/>
        <w:jc w:val="both"/>
        <w:rPr>
          <w:rFonts w:asciiTheme="minorHAnsi" w:hAnsiTheme="minorHAnsi" w:cs="Times New Roman"/>
          <w:sz w:val="20"/>
          <w:szCs w:val="20"/>
        </w:rPr>
      </w:pPr>
    </w:p>
    <w:p w:rsidR="004A40C0" w:rsidRPr="00496232" w:rsidRDefault="00496232" w:rsidP="00CB68FB">
      <w:pPr>
        <w:spacing w:after="0" w:line="240" w:lineRule="auto"/>
        <w:jc w:val="both"/>
        <w:rPr>
          <w:rFonts w:asciiTheme="minorHAnsi" w:hAnsiTheme="minorHAnsi" w:cs="Times New Roman"/>
          <w:sz w:val="20"/>
          <w:szCs w:val="20"/>
        </w:rPr>
      </w:pPr>
      <w:r w:rsidRPr="000E78EA">
        <w:rPr>
          <w:rFonts w:asciiTheme="minorHAnsi" w:hAnsiTheme="minorHAnsi" w:cs="Times New Roman"/>
          <w:sz w:val="20"/>
          <w:szCs w:val="20"/>
        </w:rPr>
        <w:t>There are no material events subsequent to the end of the reporting quarter that have not been reflected in the financial quarter under review.</w:t>
      </w:r>
    </w:p>
    <w:p w:rsidR="005F1FF0" w:rsidRDefault="005F1FF0" w:rsidP="00CB68FB">
      <w:pPr>
        <w:spacing w:after="0" w:line="240" w:lineRule="auto"/>
        <w:jc w:val="both"/>
        <w:rPr>
          <w:rFonts w:asciiTheme="minorHAnsi" w:hAnsiTheme="minorHAnsi"/>
          <w:sz w:val="20"/>
          <w:szCs w:val="20"/>
        </w:rPr>
      </w:pPr>
    </w:p>
    <w:p w:rsidR="004D4E0D" w:rsidRPr="008374DE" w:rsidRDefault="004D4E0D" w:rsidP="00CB68FB">
      <w:pPr>
        <w:spacing w:after="0" w:line="240" w:lineRule="auto"/>
        <w:jc w:val="both"/>
        <w:rPr>
          <w:rFonts w:asciiTheme="minorHAnsi" w:hAnsiTheme="minorHAnsi"/>
          <w:sz w:val="20"/>
          <w:szCs w:val="20"/>
        </w:rPr>
      </w:pPr>
    </w:p>
    <w:p w:rsidR="00F56463" w:rsidRDefault="00F56463">
      <w:pPr>
        <w:spacing w:after="0" w:line="240" w:lineRule="auto"/>
        <w:rPr>
          <w:rFonts w:asciiTheme="minorHAnsi" w:hAnsiTheme="minorHAnsi"/>
          <w:sz w:val="20"/>
          <w:szCs w:val="20"/>
        </w:rPr>
      </w:pPr>
      <w:r>
        <w:rPr>
          <w:rFonts w:asciiTheme="minorHAnsi" w:hAnsiTheme="minorHAnsi"/>
          <w:sz w:val="20"/>
          <w:szCs w:val="20"/>
        </w:rPr>
        <w:br w:type="page"/>
      </w:r>
    </w:p>
    <w:p w:rsidR="00AD0637" w:rsidRDefault="00AD0637" w:rsidP="00AD0637">
      <w:pPr>
        <w:spacing w:after="0" w:line="240" w:lineRule="auto"/>
        <w:rPr>
          <w:rFonts w:asciiTheme="minorHAnsi" w:hAnsiTheme="minorHAnsi"/>
          <w:b/>
          <w:bCs/>
          <w:sz w:val="20"/>
          <w:szCs w:val="20"/>
        </w:rPr>
      </w:pPr>
    </w:p>
    <w:p w:rsidR="00AD0637" w:rsidRPr="008374DE" w:rsidRDefault="00AD0637" w:rsidP="00AD0637">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ON CONSOLIDATED RESULTS </w:t>
      </w:r>
    </w:p>
    <w:p w:rsidR="008374DE" w:rsidRPr="008374DE" w:rsidRDefault="0087039E" w:rsidP="00C33B1C">
      <w:pPr>
        <w:spacing w:after="0" w:line="240" w:lineRule="auto"/>
        <w:rPr>
          <w:rFonts w:asciiTheme="minorHAnsi" w:hAnsiTheme="minorHAnsi"/>
          <w:sz w:val="20"/>
          <w:szCs w:val="20"/>
        </w:rPr>
      </w:pPr>
      <w:r w:rsidRPr="008374DE">
        <w:rPr>
          <w:rFonts w:asciiTheme="minorHAnsi" w:hAnsiTheme="minorHAnsi"/>
          <w:b/>
          <w:bCs/>
          <w:sz w:val="20"/>
          <w:szCs w:val="20"/>
        </w:rPr>
        <w:t xml:space="preserve">Quarterly Report for the </w:t>
      </w:r>
      <w:r w:rsidR="00684DDC">
        <w:rPr>
          <w:rFonts w:asciiTheme="minorHAnsi" w:hAnsiTheme="minorHAnsi"/>
          <w:b/>
          <w:bCs/>
          <w:sz w:val="20"/>
          <w:szCs w:val="20"/>
        </w:rPr>
        <w:t xml:space="preserve">Month </w:t>
      </w:r>
      <w:r w:rsidRPr="008374DE">
        <w:rPr>
          <w:rFonts w:asciiTheme="minorHAnsi" w:hAnsiTheme="minorHAnsi"/>
          <w:b/>
          <w:bCs/>
          <w:sz w:val="20"/>
          <w:szCs w:val="20"/>
        </w:rPr>
        <w:t xml:space="preserve"> Ended </w:t>
      </w:r>
      <w:r w:rsidR="00A94CA5">
        <w:rPr>
          <w:rFonts w:asciiTheme="minorHAnsi" w:hAnsiTheme="minorHAnsi"/>
          <w:b/>
          <w:bCs/>
          <w:sz w:val="20"/>
          <w:szCs w:val="20"/>
        </w:rPr>
        <w:t>3</w:t>
      </w:r>
      <w:r w:rsidR="00684DDC">
        <w:rPr>
          <w:rFonts w:asciiTheme="minorHAnsi" w:hAnsiTheme="minorHAnsi"/>
          <w:b/>
          <w:bCs/>
          <w:sz w:val="20"/>
          <w:szCs w:val="20"/>
        </w:rPr>
        <w:t>1 July</w:t>
      </w:r>
      <w:r w:rsidR="00A94CA5">
        <w:rPr>
          <w:rFonts w:asciiTheme="minorHAnsi" w:hAnsiTheme="minorHAnsi"/>
          <w:b/>
          <w:bCs/>
          <w:sz w:val="20"/>
          <w:szCs w:val="20"/>
        </w:rPr>
        <w:t xml:space="preserve"> </w:t>
      </w:r>
      <w:r w:rsidR="00C33B1C">
        <w:rPr>
          <w:rFonts w:asciiTheme="minorHAnsi" w:hAnsiTheme="minorHAnsi"/>
          <w:b/>
          <w:bCs/>
          <w:sz w:val="20"/>
          <w:szCs w:val="20"/>
        </w:rPr>
        <w:t>2016</w:t>
      </w:r>
    </w:p>
    <w:p w:rsidR="004A40C0" w:rsidRPr="008374DE" w:rsidRDefault="004A40C0" w:rsidP="00CB68FB">
      <w:pPr>
        <w:spacing w:after="0" w:line="240" w:lineRule="auto"/>
        <w:ind w:left="720" w:hanging="720"/>
        <w:jc w:val="both"/>
        <w:rPr>
          <w:rFonts w:asciiTheme="minorHAnsi" w:hAnsiTheme="minorHAnsi" w:cs="Times New Roman"/>
          <w:b/>
          <w:bCs/>
          <w:sz w:val="20"/>
          <w:szCs w:val="20"/>
        </w:rPr>
      </w:pPr>
      <w:r w:rsidRPr="008374DE">
        <w:rPr>
          <w:rFonts w:asciiTheme="minorHAnsi" w:hAnsiTheme="minorHAnsi"/>
          <w:b/>
          <w:bCs/>
          <w:sz w:val="20"/>
          <w:szCs w:val="20"/>
        </w:rPr>
        <w:t xml:space="preserve">B: </w:t>
      </w:r>
      <w:r w:rsidRPr="008374DE">
        <w:rPr>
          <w:rFonts w:asciiTheme="minorHAnsi" w:hAnsiTheme="minorHAnsi" w:cs="Times New Roman"/>
          <w:b/>
          <w:bCs/>
          <w:sz w:val="20"/>
          <w:szCs w:val="20"/>
        </w:rPr>
        <w:tab/>
      </w:r>
      <w:r w:rsidRPr="008374DE">
        <w:rPr>
          <w:rFonts w:asciiTheme="minorHAnsi" w:hAnsiTheme="minorHAnsi"/>
          <w:b/>
          <w:bCs/>
          <w:sz w:val="20"/>
          <w:szCs w:val="20"/>
        </w:rPr>
        <w:t>EXPLANATORY NOTES PURSUANT TO APPENDIX 9B OF THE ACE MARKET LISTING REQUIREMENTS OF BURSA SECURITIES</w:t>
      </w:r>
    </w:p>
    <w:p w:rsidR="00DC7C74" w:rsidRDefault="00DC7C74" w:rsidP="00CB68FB">
      <w:pPr>
        <w:spacing w:after="0" w:line="240" w:lineRule="auto"/>
        <w:rPr>
          <w:rFonts w:asciiTheme="minorHAnsi" w:hAnsiTheme="minorHAnsi" w:cs="Times New Roman"/>
          <w:b/>
          <w:bCs/>
          <w:sz w:val="20"/>
          <w:szCs w:val="20"/>
        </w:rPr>
      </w:pPr>
    </w:p>
    <w:p w:rsidR="00AD0637" w:rsidRPr="008374DE" w:rsidRDefault="00AD0637" w:rsidP="00CB68FB">
      <w:pPr>
        <w:spacing w:after="0" w:line="240" w:lineRule="auto"/>
        <w:rPr>
          <w:rFonts w:asciiTheme="minorHAnsi" w:hAnsiTheme="minorHAnsi" w:cs="Times New Roman"/>
          <w:b/>
          <w:bCs/>
          <w:sz w:val="20"/>
          <w:szCs w:val="20"/>
        </w:rPr>
      </w:pPr>
    </w:p>
    <w:p w:rsidR="004A40C0" w:rsidRPr="008374DE" w:rsidRDefault="004A40C0" w:rsidP="00CB68FB">
      <w:pPr>
        <w:spacing w:after="0" w:line="240" w:lineRule="auto"/>
        <w:rPr>
          <w:rFonts w:asciiTheme="minorHAnsi" w:hAnsiTheme="minorHAnsi"/>
          <w:b/>
          <w:bCs/>
          <w:sz w:val="20"/>
          <w:szCs w:val="20"/>
        </w:rPr>
      </w:pPr>
      <w:r w:rsidRPr="008374DE">
        <w:rPr>
          <w:rFonts w:asciiTheme="minorHAnsi" w:hAnsiTheme="minorHAnsi"/>
          <w:b/>
          <w:bCs/>
          <w:sz w:val="20"/>
          <w:szCs w:val="20"/>
        </w:rPr>
        <w:t>B1. Review of the performance of the Group</w:t>
      </w:r>
    </w:p>
    <w:p w:rsidR="004A40C0" w:rsidRDefault="004A40C0" w:rsidP="004668DD">
      <w:pPr>
        <w:spacing w:after="0" w:line="240" w:lineRule="auto"/>
        <w:jc w:val="both"/>
        <w:rPr>
          <w:rFonts w:asciiTheme="minorHAnsi" w:hAnsiTheme="minorHAnsi"/>
          <w:b/>
          <w:bCs/>
          <w:sz w:val="20"/>
          <w:szCs w:val="20"/>
        </w:rPr>
      </w:pPr>
    </w:p>
    <w:p w:rsidR="00D64649" w:rsidRDefault="00D64649" w:rsidP="004668DD">
      <w:pPr>
        <w:spacing w:after="0" w:line="240" w:lineRule="auto"/>
        <w:jc w:val="both"/>
        <w:rPr>
          <w:rFonts w:asciiTheme="minorHAnsi" w:hAnsiTheme="minorHAnsi"/>
          <w:b/>
          <w:bCs/>
          <w:sz w:val="20"/>
          <w:szCs w:val="20"/>
        </w:rPr>
      </w:pPr>
    </w:p>
    <w:p w:rsidR="00AE1576" w:rsidRDefault="00D60339" w:rsidP="00AE1576">
      <w:pPr>
        <w:spacing w:after="0" w:line="240" w:lineRule="auto"/>
        <w:jc w:val="both"/>
        <w:rPr>
          <w:rFonts w:asciiTheme="minorHAnsi" w:hAnsiTheme="minorHAnsi"/>
          <w:sz w:val="20"/>
          <w:szCs w:val="20"/>
        </w:rPr>
      </w:pPr>
      <w:r>
        <w:rPr>
          <w:rFonts w:asciiTheme="minorHAnsi" w:hAnsiTheme="minorHAnsi"/>
          <w:sz w:val="20"/>
          <w:szCs w:val="20"/>
        </w:rPr>
        <w:t>For the</w:t>
      </w:r>
      <w:r w:rsidR="00AE1576" w:rsidRPr="008374DE">
        <w:rPr>
          <w:rFonts w:asciiTheme="minorHAnsi" w:hAnsiTheme="minorHAnsi"/>
          <w:sz w:val="20"/>
          <w:szCs w:val="20"/>
        </w:rPr>
        <w:t xml:space="preserve"> financial </w:t>
      </w:r>
      <w:r w:rsidR="00684DDC">
        <w:rPr>
          <w:rFonts w:asciiTheme="minorHAnsi" w:hAnsiTheme="minorHAnsi"/>
          <w:sz w:val="20"/>
          <w:szCs w:val="20"/>
        </w:rPr>
        <w:t>month</w:t>
      </w:r>
      <w:r w:rsidR="00AE1576" w:rsidRPr="008374DE">
        <w:rPr>
          <w:rFonts w:asciiTheme="minorHAnsi" w:hAnsiTheme="minorHAnsi"/>
          <w:sz w:val="20"/>
          <w:szCs w:val="20"/>
        </w:rPr>
        <w:t xml:space="preserve"> ended (“</w:t>
      </w:r>
      <w:r w:rsidR="00AE1576" w:rsidRPr="008374DE">
        <w:rPr>
          <w:rFonts w:asciiTheme="minorHAnsi" w:hAnsiTheme="minorHAnsi"/>
          <w:b/>
          <w:sz w:val="20"/>
          <w:szCs w:val="20"/>
        </w:rPr>
        <w:t>F</w:t>
      </w:r>
      <w:r w:rsidR="00684DDC">
        <w:rPr>
          <w:rFonts w:asciiTheme="minorHAnsi" w:hAnsiTheme="minorHAnsi"/>
          <w:b/>
          <w:sz w:val="20"/>
          <w:szCs w:val="20"/>
        </w:rPr>
        <w:t>M</w:t>
      </w:r>
      <w:r w:rsidR="00AE1576" w:rsidRPr="008374DE">
        <w:rPr>
          <w:rFonts w:asciiTheme="minorHAnsi" w:hAnsiTheme="minorHAnsi"/>
          <w:b/>
          <w:sz w:val="20"/>
          <w:szCs w:val="20"/>
        </w:rPr>
        <w:t>E</w:t>
      </w:r>
      <w:r w:rsidR="00AE1576" w:rsidRPr="008374DE">
        <w:rPr>
          <w:rFonts w:asciiTheme="minorHAnsi" w:hAnsiTheme="minorHAnsi"/>
          <w:sz w:val="20"/>
          <w:szCs w:val="20"/>
        </w:rPr>
        <w:t xml:space="preserve">”) </w:t>
      </w:r>
      <w:r w:rsidR="002505E4" w:rsidRPr="00554756">
        <w:rPr>
          <w:sz w:val="20"/>
          <w:szCs w:val="20"/>
        </w:rPr>
        <w:t>3</w:t>
      </w:r>
      <w:r w:rsidR="00684DDC">
        <w:rPr>
          <w:sz w:val="20"/>
          <w:szCs w:val="20"/>
        </w:rPr>
        <w:t xml:space="preserve">1 </w:t>
      </w:r>
      <w:r w:rsidR="002505E4">
        <w:rPr>
          <w:sz w:val="20"/>
          <w:szCs w:val="20"/>
        </w:rPr>
        <w:t>Ju</w:t>
      </w:r>
      <w:r w:rsidR="00565410">
        <w:rPr>
          <w:sz w:val="20"/>
          <w:szCs w:val="20"/>
        </w:rPr>
        <w:t>ly</w:t>
      </w:r>
      <w:r w:rsidR="002505E4" w:rsidRPr="00554756">
        <w:rPr>
          <w:sz w:val="20"/>
          <w:szCs w:val="20"/>
        </w:rPr>
        <w:t xml:space="preserve"> </w:t>
      </w:r>
      <w:r w:rsidR="001E6FD5">
        <w:rPr>
          <w:rFonts w:asciiTheme="minorHAnsi" w:hAnsiTheme="minorHAnsi"/>
          <w:sz w:val="20"/>
          <w:szCs w:val="20"/>
        </w:rPr>
        <w:t>201</w:t>
      </w:r>
      <w:r w:rsidR="009A6796">
        <w:rPr>
          <w:rFonts w:asciiTheme="minorHAnsi" w:hAnsiTheme="minorHAnsi"/>
          <w:sz w:val="20"/>
          <w:szCs w:val="20"/>
        </w:rPr>
        <w:t>6</w:t>
      </w:r>
      <w:r w:rsidR="00AE1576" w:rsidRPr="008374DE">
        <w:rPr>
          <w:rFonts w:asciiTheme="minorHAnsi" w:hAnsiTheme="minorHAnsi"/>
          <w:sz w:val="20"/>
          <w:szCs w:val="20"/>
        </w:rPr>
        <w:t xml:space="preserve">, the Group recorded </w:t>
      </w:r>
      <w:r w:rsidR="00684DDC">
        <w:rPr>
          <w:rFonts w:asciiTheme="minorHAnsi" w:hAnsiTheme="minorHAnsi"/>
          <w:sz w:val="20"/>
          <w:szCs w:val="20"/>
        </w:rPr>
        <w:t xml:space="preserve">a </w:t>
      </w:r>
      <w:r w:rsidR="00AE1576" w:rsidRPr="008374DE">
        <w:rPr>
          <w:rFonts w:asciiTheme="minorHAnsi" w:hAnsiTheme="minorHAnsi"/>
          <w:sz w:val="20"/>
          <w:szCs w:val="20"/>
        </w:rPr>
        <w:t>revenue of RM</w:t>
      </w:r>
      <w:r w:rsidR="00565410">
        <w:rPr>
          <w:rFonts w:asciiTheme="minorHAnsi" w:hAnsiTheme="minorHAnsi"/>
          <w:sz w:val="20"/>
          <w:szCs w:val="20"/>
        </w:rPr>
        <w:t xml:space="preserve">3.68 million </w:t>
      </w:r>
      <w:r w:rsidR="00684DDC">
        <w:rPr>
          <w:rFonts w:asciiTheme="minorHAnsi" w:hAnsiTheme="minorHAnsi"/>
          <w:sz w:val="20"/>
          <w:szCs w:val="20"/>
        </w:rPr>
        <w:t>whi</w:t>
      </w:r>
      <w:r w:rsidR="00AE1576">
        <w:rPr>
          <w:rFonts w:asciiTheme="minorHAnsi" w:hAnsiTheme="minorHAnsi"/>
          <w:sz w:val="20"/>
          <w:szCs w:val="20"/>
        </w:rPr>
        <w:t>ch represents a</w:t>
      </w:r>
      <w:r w:rsidR="00BC15B0">
        <w:rPr>
          <w:rFonts w:asciiTheme="minorHAnsi" w:hAnsiTheme="minorHAnsi"/>
          <w:sz w:val="20"/>
          <w:szCs w:val="20"/>
        </w:rPr>
        <w:t xml:space="preserve">n </w:t>
      </w:r>
      <w:r w:rsidR="00684DDC">
        <w:rPr>
          <w:rFonts w:asciiTheme="minorHAnsi" w:hAnsiTheme="minorHAnsi"/>
          <w:sz w:val="20"/>
          <w:szCs w:val="20"/>
        </w:rPr>
        <w:t>unfavourable performance</w:t>
      </w:r>
      <w:r w:rsidR="00AE4801">
        <w:rPr>
          <w:rFonts w:asciiTheme="minorHAnsi" w:hAnsiTheme="minorHAnsi"/>
          <w:sz w:val="20"/>
          <w:szCs w:val="20"/>
        </w:rPr>
        <w:t xml:space="preserve"> compared to RM1.95 in the preceding year corresponding period</w:t>
      </w:r>
      <w:r w:rsidR="00AE1576" w:rsidRPr="008374DE">
        <w:rPr>
          <w:rFonts w:asciiTheme="minorHAnsi" w:hAnsiTheme="minorHAnsi"/>
          <w:sz w:val="20"/>
          <w:szCs w:val="20"/>
        </w:rPr>
        <w:t xml:space="preserve">. The </w:t>
      </w:r>
      <w:r w:rsidR="00551FBB">
        <w:rPr>
          <w:rFonts w:asciiTheme="minorHAnsi" w:hAnsiTheme="minorHAnsi"/>
          <w:sz w:val="20"/>
          <w:szCs w:val="20"/>
        </w:rPr>
        <w:t>de</w:t>
      </w:r>
      <w:r w:rsidR="00BC15B0">
        <w:rPr>
          <w:rFonts w:asciiTheme="minorHAnsi" w:hAnsiTheme="minorHAnsi"/>
          <w:sz w:val="20"/>
          <w:szCs w:val="20"/>
        </w:rPr>
        <w:t xml:space="preserve">crease in </w:t>
      </w:r>
      <w:r w:rsidR="00AE1576" w:rsidRPr="008374DE">
        <w:rPr>
          <w:rFonts w:asciiTheme="minorHAnsi" w:hAnsiTheme="minorHAnsi"/>
          <w:sz w:val="20"/>
          <w:szCs w:val="20"/>
        </w:rPr>
        <w:t xml:space="preserve">revenue for the current </w:t>
      </w:r>
      <w:r w:rsidR="00551FBB">
        <w:rPr>
          <w:rFonts w:asciiTheme="minorHAnsi" w:hAnsiTheme="minorHAnsi"/>
          <w:sz w:val="20"/>
          <w:szCs w:val="20"/>
        </w:rPr>
        <w:t>month</w:t>
      </w:r>
      <w:r w:rsidR="00AE1576" w:rsidRPr="008374DE">
        <w:rPr>
          <w:rFonts w:asciiTheme="minorHAnsi" w:hAnsiTheme="minorHAnsi"/>
          <w:sz w:val="20"/>
          <w:szCs w:val="20"/>
        </w:rPr>
        <w:t xml:space="preserve"> was mainly </w:t>
      </w:r>
      <w:r w:rsidR="00AE4801">
        <w:rPr>
          <w:rFonts w:asciiTheme="minorHAnsi" w:hAnsiTheme="minorHAnsi"/>
          <w:sz w:val="20"/>
          <w:szCs w:val="20"/>
        </w:rPr>
        <w:t xml:space="preserve">due to </w:t>
      </w:r>
      <w:r w:rsidR="00AE1576">
        <w:rPr>
          <w:rFonts w:asciiTheme="minorHAnsi" w:hAnsiTheme="minorHAnsi"/>
          <w:sz w:val="20"/>
          <w:szCs w:val="20"/>
        </w:rPr>
        <w:t xml:space="preserve">by </w:t>
      </w:r>
      <w:r w:rsidR="00551FBB">
        <w:rPr>
          <w:rFonts w:asciiTheme="minorHAnsi" w:hAnsiTheme="minorHAnsi"/>
          <w:sz w:val="20"/>
          <w:szCs w:val="20"/>
        </w:rPr>
        <w:t>slower and lesser</w:t>
      </w:r>
      <w:r w:rsidR="00BC15B0">
        <w:rPr>
          <w:rFonts w:asciiTheme="minorHAnsi" w:hAnsiTheme="minorHAnsi"/>
          <w:sz w:val="20"/>
          <w:szCs w:val="20"/>
        </w:rPr>
        <w:t xml:space="preserve"> </w:t>
      </w:r>
      <w:r w:rsidR="00AE4801">
        <w:rPr>
          <w:rFonts w:asciiTheme="minorHAnsi" w:hAnsiTheme="minorHAnsi"/>
          <w:sz w:val="20"/>
          <w:szCs w:val="20"/>
        </w:rPr>
        <w:t xml:space="preserve">in sales </w:t>
      </w:r>
      <w:r w:rsidR="00AE1576" w:rsidRPr="007E6309">
        <w:rPr>
          <w:rFonts w:asciiTheme="minorHAnsi" w:hAnsiTheme="minorHAnsi"/>
          <w:sz w:val="20"/>
          <w:szCs w:val="20"/>
        </w:rPr>
        <w:t xml:space="preserve">software solutions and related equipment </w:t>
      </w:r>
      <w:r w:rsidR="00975E67">
        <w:rPr>
          <w:rFonts w:asciiTheme="minorHAnsi" w:hAnsiTheme="minorHAnsi"/>
          <w:sz w:val="20"/>
          <w:szCs w:val="20"/>
        </w:rPr>
        <w:t>supplies</w:t>
      </w:r>
      <w:r w:rsidR="00551FBB">
        <w:rPr>
          <w:rFonts w:asciiTheme="minorHAnsi" w:hAnsiTheme="minorHAnsi"/>
          <w:sz w:val="20"/>
          <w:szCs w:val="20"/>
        </w:rPr>
        <w:t xml:space="preserve"> in </w:t>
      </w:r>
      <w:r w:rsidR="00AE4801">
        <w:rPr>
          <w:rFonts w:asciiTheme="minorHAnsi" w:hAnsiTheme="minorHAnsi"/>
          <w:sz w:val="20"/>
          <w:szCs w:val="20"/>
        </w:rPr>
        <w:t xml:space="preserve">the </w:t>
      </w:r>
      <w:r w:rsidR="00975E67">
        <w:rPr>
          <w:rFonts w:asciiTheme="minorHAnsi" w:hAnsiTheme="minorHAnsi"/>
          <w:sz w:val="20"/>
          <w:szCs w:val="20"/>
        </w:rPr>
        <w:t>local</w:t>
      </w:r>
      <w:r w:rsidR="00551FBB">
        <w:rPr>
          <w:rFonts w:asciiTheme="minorHAnsi" w:hAnsiTheme="minorHAnsi"/>
          <w:sz w:val="20"/>
          <w:szCs w:val="20"/>
        </w:rPr>
        <w:t xml:space="preserve"> market</w:t>
      </w:r>
      <w:r w:rsidR="00AE1576" w:rsidRPr="007E6309">
        <w:rPr>
          <w:rFonts w:asciiTheme="minorHAnsi" w:hAnsiTheme="minorHAnsi"/>
          <w:sz w:val="20"/>
          <w:szCs w:val="20"/>
        </w:rPr>
        <w:t>.</w:t>
      </w:r>
    </w:p>
    <w:p w:rsidR="00AE1576" w:rsidRDefault="00AE1576" w:rsidP="00AE1576">
      <w:pPr>
        <w:spacing w:after="0" w:line="240" w:lineRule="auto"/>
        <w:jc w:val="both"/>
        <w:rPr>
          <w:rFonts w:asciiTheme="minorHAnsi" w:hAnsiTheme="minorHAnsi"/>
          <w:sz w:val="20"/>
          <w:szCs w:val="20"/>
        </w:rPr>
      </w:pPr>
    </w:p>
    <w:p w:rsidR="00C72607" w:rsidRDefault="00D60339" w:rsidP="00C72607">
      <w:pPr>
        <w:spacing w:after="0" w:line="240" w:lineRule="auto"/>
        <w:jc w:val="both"/>
        <w:rPr>
          <w:rFonts w:asciiTheme="minorHAnsi" w:hAnsiTheme="minorHAnsi"/>
          <w:sz w:val="20"/>
          <w:szCs w:val="20"/>
        </w:rPr>
      </w:pPr>
      <w:r>
        <w:rPr>
          <w:rFonts w:asciiTheme="minorHAnsi" w:hAnsiTheme="minorHAnsi"/>
          <w:sz w:val="20"/>
          <w:szCs w:val="20"/>
        </w:rPr>
        <w:t>T</w:t>
      </w:r>
      <w:r w:rsidRPr="008374DE">
        <w:rPr>
          <w:rFonts w:asciiTheme="minorHAnsi" w:hAnsiTheme="minorHAnsi"/>
          <w:sz w:val="20"/>
          <w:szCs w:val="20"/>
        </w:rPr>
        <w:t xml:space="preserve">he Group recorded a loss </w:t>
      </w:r>
      <w:r w:rsidR="00E1767F">
        <w:rPr>
          <w:rFonts w:asciiTheme="minorHAnsi" w:hAnsiTheme="minorHAnsi"/>
          <w:sz w:val="20"/>
          <w:szCs w:val="20"/>
        </w:rPr>
        <w:t>after</w:t>
      </w:r>
      <w:r w:rsidRPr="008374DE">
        <w:rPr>
          <w:rFonts w:asciiTheme="minorHAnsi" w:hAnsiTheme="minorHAnsi"/>
          <w:sz w:val="20"/>
          <w:szCs w:val="20"/>
        </w:rPr>
        <w:t xml:space="preserve"> taxation of RM</w:t>
      </w:r>
      <w:r w:rsidR="00E72901">
        <w:rPr>
          <w:rFonts w:asciiTheme="minorHAnsi" w:hAnsiTheme="minorHAnsi"/>
          <w:sz w:val="20"/>
          <w:szCs w:val="20"/>
        </w:rPr>
        <w:t>11.28</w:t>
      </w:r>
      <w:r w:rsidRPr="008374DE">
        <w:rPr>
          <w:rFonts w:asciiTheme="minorHAnsi" w:hAnsiTheme="minorHAnsi"/>
          <w:sz w:val="20"/>
          <w:szCs w:val="20"/>
        </w:rPr>
        <w:t xml:space="preserve"> million </w:t>
      </w:r>
      <w:r>
        <w:rPr>
          <w:rFonts w:asciiTheme="minorHAnsi" w:hAnsiTheme="minorHAnsi"/>
          <w:sz w:val="20"/>
          <w:szCs w:val="20"/>
        </w:rPr>
        <w:t>for F</w:t>
      </w:r>
      <w:r w:rsidR="00551FBB">
        <w:rPr>
          <w:rFonts w:asciiTheme="minorHAnsi" w:hAnsiTheme="minorHAnsi"/>
          <w:sz w:val="20"/>
          <w:szCs w:val="20"/>
        </w:rPr>
        <w:t>M</w:t>
      </w:r>
      <w:r>
        <w:rPr>
          <w:rFonts w:asciiTheme="minorHAnsi" w:hAnsiTheme="minorHAnsi"/>
          <w:sz w:val="20"/>
          <w:szCs w:val="20"/>
        </w:rPr>
        <w:t xml:space="preserve">E </w:t>
      </w:r>
      <w:r w:rsidR="002505E4" w:rsidRPr="00554756">
        <w:rPr>
          <w:sz w:val="20"/>
          <w:szCs w:val="20"/>
        </w:rPr>
        <w:t>3</w:t>
      </w:r>
      <w:r w:rsidR="00E72901">
        <w:rPr>
          <w:sz w:val="20"/>
          <w:szCs w:val="20"/>
        </w:rPr>
        <w:t>1 July</w:t>
      </w:r>
      <w:r w:rsidR="002505E4" w:rsidRPr="00554756">
        <w:rPr>
          <w:sz w:val="20"/>
          <w:szCs w:val="20"/>
        </w:rPr>
        <w:t xml:space="preserve"> </w:t>
      </w:r>
      <w:r w:rsidR="00E1767F">
        <w:rPr>
          <w:rFonts w:asciiTheme="minorHAnsi" w:hAnsiTheme="minorHAnsi"/>
          <w:sz w:val="20"/>
          <w:szCs w:val="20"/>
        </w:rPr>
        <w:t>2016</w:t>
      </w:r>
      <w:r>
        <w:rPr>
          <w:rFonts w:asciiTheme="minorHAnsi" w:hAnsiTheme="minorHAnsi"/>
          <w:sz w:val="20"/>
          <w:szCs w:val="20"/>
        </w:rPr>
        <w:t xml:space="preserve"> </w:t>
      </w:r>
      <w:r w:rsidRPr="008374DE">
        <w:rPr>
          <w:rFonts w:asciiTheme="minorHAnsi" w:hAnsiTheme="minorHAnsi"/>
          <w:sz w:val="20"/>
          <w:szCs w:val="20"/>
        </w:rPr>
        <w:t xml:space="preserve">as compared to a </w:t>
      </w:r>
      <w:r w:rsidR="00414252">
        <w:rPr>
          <w:rFonts w:asciiTheme="minorHAnsi" w:hAnsiTheme="minorHAnsi"/>
          <w:sz w:val="20"/>
          <w:szCs w:val="20"/>
        </w:rPr>
        <w:t>loss</w:t>
      </w:r>
      <w:r w:rsidRPr="008374DE">
        <w:rPr>
          <w:rFonts w:asciiTheme="minorHAnsi" w:hAnsiTheme="minorHAnsi"/>
          <w:sz w:val="20"/>
          <w:szCs w:val="20"/>
        </w:rPr>
        <w:t xml:space="preserve"> </w:t>
      </w:r>
      <w:r w:rsidR="00414252">
        <w:rPr>
          <w:rFonts w:asciiTheme="minorHAnsi" w:hAnsiTheme="minorHAnsi"/>
          <w:sz w:val="20"/>
          <w:szCs w:val="20"/>
        </w:rPr>
        <w:t>after</w:t>
      </w:r>
      <w:r w:rsidRPr="008374DE">
        <w:rPr>
          <w:rFonts w:asciiTheme="minorHAnsi" w:hAnsiTheme="minorHAnsi"/>
          <w:sz w:val="20"/>
          <w:szCs w:val="20"/>
        </w:rPr>
        <w:t xml:space="preserve"> taxation of RM</w:t>
      </w:r>
      <w:r w:rsidR="00414252">
        <w:rPr>
          <w:rFonts w:asciiTheme="minorHAnsi" w:hAnsiTheme="minorHAnsi"/>
          <w:sz w:val="20"/>
          <w:szCs w:val="20"/>
        </w:rPr>
        <w:t>9.95</w:t>
      </w:r>
      <w:r w:rsidRPr="008374DE">
        <w:rPr>
          <w:rFonts w:asciiTheme="minorHAnsi" w:hAnsiTheme="minorHAnsi"/>
          <w:sz w:val="20"/>
          <w:szCs w:val="20"/>
        </w:rPr>
        <w:t xml:space="preserve"> mill</w:t>
      </w:r>
      <w:r>
        <w:rPr>
          <w:rFonts w:asciiTheme="minorHAnsi" w:hAnsiTheme="minorHAnsi"/>
          <w:sz w:val="20"/>
          <w:szCs w:val="20"/>
        </w:rPr>
        <w:t>ion registered in the preceding</w:t>
      </w:r>
      <w:r w:rsidRPr="008374DE">
        <w:rPr>
          <w:rFonts w:asciiTheme="minorHAnsi" w:hAnsiTheme="minorHAnsi"/>
          <w:sz w:val="20"/>
          <w:szCs w:val="20"/>
        </w:rPr>
        <w:t xml:space="preserve"> year</w:t>
      </w:r>
      <w:r>
        <w:rPr>
          <w:rFonts w:asciiTheme="minorHAnsi" w:hAnsiTheme="minorHAnsi"/>
          <w:sz w:val="20"/>
          <w:szCs w:val="20"/>
        </w:rPr>
        <w:t xml:space="preserve"> corresponding period. The </w:t>
      </w:r>
      <w:r w:rsidR="00AE4801">
        <w:rPr>
          <w:rFonts w:asciiTheme="minorHAnsi" w:hAnsiTheme="minorHAnsi"/>
          <w:sz w:val="20"/>
          <w:szCs w:val="20"/>
        </w:rPr>
        <w:t xml:space="preserve">increase in </w:t>
      </w:r>
      <w:r>
        <w:rPr>
          <w:rFonts w:asciiTheme="minorHAnsi" w:hAnsiTheme="minorHAnsi"/>
          <w:sz w:val="20"/>
          <w:szCs w:val="20"/>
        </w:rPr>
        <w:t>current year to date</w:t>
      </w:r>
      <w:r w:rsidR="0045557C">
        <w:rPr>
          <w:rFonts w:asciiTheme="minorHAnsi" w:hAnsiTheme="minorHAnsi"/>
          <w:sz w:val="20"/>
          <w:szCs w:val="20"/>
        </w:rPr>
        <w:t>’s</w:t>
      </w:r>
      <w:r>
        <w:rPr>
          <w:rFonts w:asciiTheme="minorHAnsi" w:hAnsiTheme="minorHAnsi"/>
          <w:sz w:val="20"/>
          <w:szCs w:val="20"/>
        </w:rPr>
        <w:t xml:space="preserve"> loss </w:t>
      </w:r>
      <w:r w:rsidR="00C72607" w:rsidRPr="007E6309">
        <w:rPr>
          <w:rFonts w:asciiTheme="minorHAnsi" w:hAnsiTheme="minorHAnsi"/>
          <w:sz w:val="20"/>
          <w:szCs w:val="20"/>
        </w:rPr>
        <w:t xml:space="preserve">was mainly due to </w:t>
      </w:r>
      <w:r w:rsidR="00AE4801">
        <w:rPr>
          <w:rFonts w:asciiTheme="minorHAnsi" w:hAnsiTheme="minorHAnsi"/>
          <w:sz w:val="20"/>
          <w:szCs w:val="20"/>
        </w:rPr>
        <w:t>addition</w:t>
      </w:r>
      <w:r w:rsidR="00414252">
        <w:rPr>
          <w:rFonts w:asciiTheme="minorHAnsi" w:hAnsiTheme="minorHAnsi"/>
          <w:sz w:val="20"/>
          <w:szCs w:val="20"/>
        </w:rPr>
        <w:t xml:space="preserve"> in </w:t>
      </w:r>
      <w:r w:rsidR="00AE4801">
        <w:rPr>
          <w:rFonts w:asciiTheme="minorHAnsi" w:hAnsiTheme="minorHAnsi"/>
          <w:sz w:val="20"/>
          <w:szCs w:val="20"/>
        </w:rPr>
        <w:t>consultation fees for the proposed restructuring exercise and directors’ fees. For the current period</w:t>
      </w:r>
      <w:r w:rsidR="00414252">
        <w:rPr>
          <w:rFonts w:asciiTheme="minorHAnsi" w:hAnsiTheme="minorHAnsi"/>
          <w:sz w:val="20"/>
          <w:szCs w:val="20"/>
        </w:rPr>
        <w:t>.</w:t>
      </w:r>
    </w:p>
    <w:p w:rsidR="00AE1576" w:rsidRDefault="00AE1576" w:rsidP="00AE1576">
      <w:pPr>
        <w:spacing w:after="0" w:line="240" w:lineRule="auto"/>
        <w:jc w:val="both"/>
        <w:rPr>
          <w:rFonts w:asciiTheme="minorHAnsi" w:hAnsiTheme="minorHAnsi"/>
          <w:b/>
          <w:bCs/>
          <w:sz w:val="20"/>
          <w:szCs w:val="20"/>
        </w:rPr>
      </w:pPr>
    </w:p>
    <w:p w:rsidR="00553336" w:rsidRDefault="00AE1576" w:rsidP="00553336">
      <w:pPr>
        <w:spacing w:after="0" w:line="240" w:lineRule="auto"/>
        <w:jc w:val="both"/>
        <w:rPr>
          <w:rFonts w:asciiTheme="minorHAnsi" w:hAnsiTheme="minorHAnsi"/>
          <w:b/>
          <w:bCs/>
          <w:sz w:val="20"/>
          <w:szCs w:val="20"/>
        </w:rPr>
      </w:pPr>
      <w:r>
        <w:rPr>
          <w:rFonts w:asciiTheme="minorHAnsi" w:hAnsiTheme="minorHAnsi"/>
          <w:sz w:val="20"/>
          <w:szCs w:val="20"/>
        </w:rPr>
        <w:t>For t</w:t>
      </w:r>
      <w:r w:rsidR="00C72607">
        <w:rPr>
          <w:rFonts w:asciiTheme="minorHAnsi" w:hAnsiTheme="minorHAnsi"/>
          <w:sz w:val="20"/>
          <w:szCs w:val="20"/>
        </w:rPr>
        <w:t xml:space="preserve">he current </w:t>
      </w:r>
      <w:r w:rsidR="00AE4801">
        <w:rPr>
          <w:rFonts w:asciiTheme="minorHAnsi" w:hAnsiTheme="minorHAnsi"/>
          <w:sz w:val="20"/>
          <w:szCs w:val="20"/>
        </w:rPr>
        <w:t xml:space="preserve">month </w:t>
      </w:r>
      <w:r w:rsidR="00C72607">
        <w:rPr>
          <w:rFonts w:asciiTheme="minorHAnsi" w:hAnsiTheme="minorHAnsi"/>
          <w:sz w:val="20"/>
          <w:szCs w:val="20"/>
        </w:rPr>
        <w:t xml:space="preserve">ended </w:t>
      </w:r>
      <w:r w:rsidR="002505E4" w:rsidRPr="00554756">
        <w:rPr>
          <w:sz w:val="20"/>
          <w:szCs w:val="20"/>
        </w:rPr>
        <w:t>3</w:t>
      </w:r>
      <w:r w:rsidR="00AE4801">
        <w:rPr>
          <w:sz w:val="20"/>
          <w:szCs w:val="20"/>
        </w:rPr>
        <w:t>1 July</w:t>
      </w:r>
      <w:r w:rsidR="002505E4" w:rsidRPr="00554756">
        <w:rPr>
          <w:sz w:val="20"/>
          <w:szCs w:val="20"/>
        </w:rPr>
        <w:t xml:space="preserve"> </w:t>
      </w:r>
      <w:r w:rsidR="001E6FD5">
        <w:rPr>
          <w:rFonts w:asciiTheme="minorHAnsi" w:hAnsiTheme="minorHAnsi"/>
          <w:sz w:val="20"/>
          <w:szCs w:val="20"/>
        </w:rPr>
        <w:t>201</w:t>
      </w:r>
      <w:r w:rsidR="00E1767F">
        <w:rPr>
          <w:rFonts w:asciiTheme="minorHAnsi" w:hAnsiTheme="minorHAnsi"/>
          <w:sz w:val="20"/>
          <w:szCs w:val="20"/>
        </w:rPr>
        <w:t>6</w:t>
      </w:r>
      <w:r>
        <w:rPr>
          <w:rFonts w:asciiTheme="minorHAnsi" w:hAnsiTheme="minorHAnsi"/>
          <w:sz w:val="20"/>
          <w:szCs w:val="20"/>
        </w:rPr>
        <w:t xml:space="preserve">, the Group recorded </w:t>
      </w:r>
      <w:r w:rsidR="005B09D9">
        <w:rPr>
          <w:rFonts w:asciiTheme="minorHAnsi" w:hAnsiTheme="minorHAnsi"/>
          <w:sz w:val="20"/>
          <w:szCs w:val="20"/>
        </w:rPr>
        <w:t xml:space="preserve">a </w:t>
      </w:r>
      <w:r w:rsidR="00F312A1">
        <w:rPr>
          <w:rFonts w:asciiTheme="minorHAnsi" w:hAnsiTheme="minorHAnsi"/>
          <w:sz w:val="20"/>
          <w:szCs w:val="20"/>
        </w:rPr>
        <w:t>revenue of RM</w:t>
      </w:r>
      <w:r w:rsidR="00AE4801">
        <w:rPr>
          <w:rFonts w:asciiTheme="minorHAnsi" w:hAnsiTheme="minorHAnsi"/>
          <w:sz w:val="20"/>
          <w:szCs w:val="20"/>
        </w:rPr>
        <w:t>37</w:t>
      </w:r>
      <w:r w:rsidR="00E1767F">
        <w:rPr>
          <w:rFonts w:asciiTheme="minorHAnsi" w:hAnsiTheme="minorHAnsi"/>
          <w:sz w:val="20"/>
          <w:szCs w:val="20"/>
        </w:rPr>
        <w:t>,000</w:t>
      </w:r>
      <w:r>
        <w:rPr>
          <w:rFonts w:asciiTheme="minorHAnsi" w:hAnsiTheme="minorHAnsi"/>
          <w:sz w:val="20"/>
          <w:szCs w:val="20"/>
        </w:rPr>
        <w:t xml:space="preserve"> and </w:t>
      </w:r>
      <w:r w:rsidR="00FB7A91">
        <w:rPr>
          <w:rFonts w:asciiTheme="minorHAnsi" w:hAnsiTheme="minorHAnsi"/>
          <w:sz w:val="20"/>
          <w:szCs w:val="20"/>
        </w:rPr>
        <w:t>loss</w:t>
      </w:r>
      <w:r w:rsidR="00F312A1">
        <w:rPr>
          <w:rFonts w:asciiTheme="minorHAnsi" w:hAnsiTheme="minorHAnsi"/>
          <w:sz w:val="20"/>
          <w:szCs w:val="20"/>
        </w:rPr>
        <w:t xml:space="preserve"> before taxation of RM</w:t>
      </w:r>
      <w:r w:rsidR="00AE4801">
        <w:rPr>
          <w:rFonts w:asciiTheme="minorHAnsi" w:hAnsiTheme="minorHAnsi"/>
          <w:sz w:val="20"/>
          <w:szCs w:val="20"/>
        </w:rPr>
        <w:t>409,000</w:t>
      </w:r>
      <w:r>
        <w:rPr>
          <w:rFonts w:asciiTheme="minorHAnsi" w:hAnsiTheme="minorHAnsi"/>
          <w:sz w:val="20"/>
          <w:szCs w:val="20"/>
        </w:rPr>
        <w:t xml:space="preserve"> as compared to a revenue and </w:t>
      </w:r>
      <w:r w:rsidR="00FA335B">
        <w:rPr>
          <w:rFonts w:asciiTheme="minorHAnsi" w:hAnsiTheme="minorHAnsi"/>
          <w:sz w:val="20"/>
          <w:szCs w:val="20"/>
        </w:rPr>
        <w:t>a loss</w:t>
      </w:r>
      <w:r>
        <w:rPr>
          <w:rFonts w:asciiTheme="minorHAnsi" w:hAnsiTheme="minorHAnsi"/>
          <w:sz w:val="20"/>
          <w:szCs w:val="20"/>
        </w:rPr>
        <w:t xml:space="preserve"> before taxation </w:t>
      </w:r>
      <w:r w:rsidR="00F312A1">
        <w:rPr>
          <w:rFonts w:asciiTheme="minorHAnsi" w:hAnsiTheme="minorHAnsi"/>
          <w:sz w:val="20"/>
          <w:szCs w:val="20"/>
        </w:rPr>
        <w:t>of RM</w:t>
      </w:r>
      <w:r w:rsidR="00AE4801">
        <w:rPr>
          <w:rFonts w:asciiTheme="minorHAnsi" w:hAnsiTheme="minorHAnsi"/>
          <w:sz w:val="20"/>
          <w:szCs w:val="20"/>
        </w:rPr>
        <w:t>531</w:t>
      </w:r>
      <w:r w:rsidR="00FB7A91">
        <w:rPr>
          <w:rFonts w:asciiTheme="minorHAnsi" w:hAnsiTheme="minorHAnsi"/>
          <w:sz w:val="20"/>
          <w:szCs w:val="20"/>
        </w:rPr>
        <w:t>,000</w:t>
      </w:r>
      <w:r>
        <w:rPr>
          <w:rFonts w:asciiTheme="minorHAnsi" w:hAnsiTheme="minorHAnsi"/>
          <w:sz w:val="20"/>
          <w:szCs w:val="20"/>
        </w:rPr>
        <w:t xml:space="preserve"> and RM</w:t>
      </w:r>
      <w:r w:rsidR="00FA335B">
        <w:rPr>
          <w:rFonts w:asciiTheme="minorHAnsi" w:hAnsiTheme="minorHAnsi"/>
          <w:sz w:val="20"/>
          <w:szCs w:val="20"/>
        </w:rPr>
        <w:t>7.82</w:t>
      </w:r>
      <w:r>
        <w:rPr>
          <w:rFonts w:asciiTheme="minorHAnsi" w:hAnsiTheme="minorHAnsi"/>
          <w:sz w:val="20"/>
          <w:szCs w:val="20"/>
        </w:rPr>
        <w:t xml:space="preserve"> million respectively for the preceding year corresponding quarter. </w:t>
      </w:r>
      <w:r w:rsidR="00F312A1">
        <w:rPr>
          <w:rFonts w:asciiTheme="minorHAnsi" w:hAnsiTheme="minorHAnsi"/>
          <w:sz w:val="20"/>
          <w:szCs w:val="20"/>
        </w:rPr>
        <w:t xml:space="preserve">The </w:t>
      </w:r>
      <w:r w:rsidR="00FA335B">
        <w:rPr>
          <w:rFonts w:asciiTheme="minorHAnsi" w:hAnsiTheme="minorHAnsi"/>
          <w:sz w:val="20"/>
          <w:szCs w:val="20"/>
        </w:rPr>
        <w:t xml:space="preserve">drop in </w:t>
      </w:r>
      <w:r w:rsidR="00F312A1">
        <w:rPr>
          <w:rFonts w:asciiTheme="minorHAnsi" w:hAnsiTheme="minorHAnsi"/>
          <w:sz w:val="20"/>
          <w:szCs w:val="20"/>
        </w:rPr>
        <w:t xml:space="preserve">revenue in the </w:t>
      </w:r>
      <w:r w:rsidR="00FA335B">
        <w:rPr>
          <w:rFonts w:asciiTheme="minorHAnsi" w:hAnsiTheme="minorHAnsi"/>
          <w:sz w:val="20"/>
          <w:szCs w:val="20"/>
        </w:rPr>
        <w:t>current month</w:t>
      </w:r>
      <w:r w:rsidR="00F312A1">
        <w:rPr>
          <w:rFonts w:asciiTheme="minorHAnsi" w:hAnsiTheme="minorHAnsi"/>
          <w:sz w:val="20"/>
          <w:szCs w:val="20"/>
        </w:rPr>
        <w:t xml:space="preserve"> was mainly due to </w:t>
      </w:r>
      <w:r w:rsidR="00FA335B">
        <w:rPr>
          <w:rFonts w:asciiTheme="minorHAnsi" w:hAnsiTheme="minorHAnsi"/>
          <w:sz w:val="20"/>
          <w:szCs w:val="20"/>
        </w:rPr>
        <w:t>slow in sales of</w:t>
      </w:r>
      <w:r w:rsidR="009954E7">
        <w:rPr>
          <w:rFonts w:asciiTheme="minorHAnsi" w:hAnsiTheme="minorHAnsi"/>
          <w:sz w:val="20"/>
          <w:szCs w:val="20"/>
        </w:rPr>
        <w:t xml:space="preserve"> </w:t>
      </w:r>
      <w:r w:rsidR="009954E7" w:rsidRPr="007E6309">
        <w:rPr>
          <w:rFonts w:asciiTheme="minorHAnsi" w:hAnsiTheme="minorHAnsi"/>
          <w:sz w:val="20"/>
          <w:szCs w:val="20"/>
        </w:rPr>
        <w:t xml:space="preserve">software solutions and related equipment </w:t>
      </w:r>
      <w:r w:rsidR="009954E7">
        <w:rPr>
          <w:rFonts w:asciiTheme="minorHAnsi" w:hAnsiTheme="minorHAnsi"/>
          <w:sz w:val="20"/>
          <w:szCs w:val="20"/>
        </w:rPr>
        <w:t>supplies</w:t>
      </w:r>
      <w:r w:rsidR="009954E7" w:rsidRPr="007E6309">
        <w:rPr>
          <w:rFonts w:asciiTheme="minorHAnsi" w:hAnsiTheme="minorHAnsi"/>
          <w:sz w:val="20"/>
          <w:szCs w:val="20"/>
        </w:rPr>
        <w:t>.</w:t>
      </w:r>
      <w:r w:rsidR="00BF1C78">
        <w:rPr>
          <w:rFonts w:asciiTheme="minorHAnsi" w:hAnsiTheme="minorHAnsi"/>
          <w:sz w:val="20"/>
          <w:szCs w:val="20"/>
        </w:rPr>
        <w:t xml:space="preserve"> </w:t>
      </w:r>
      <w:r w:rsidR="001F36DB">
        <w:rPr>
          <w:rFonts w:asciiTheme="minorHAnsi" w:hAnsiTheme="minorHAnsi"/>
          <w:sz w:val="20"/>
          <w:szCs w:val="20"/>
        </w:rPr>
        <w:t>However, t</w:t>
      </w:r>
      <w:r>
        <w:rPr>
          <w:rFonts w:asciiTheme="minorHAnsi" w:hAnsiTheme="minorHAnsi"/>
          <w:sz w:val="20"/>
          <w:szCs w:val="20"/>
        </w:rPr>
        <w:t xml:space="preserve">he </w:t>
      </w:r>
      <w:r w:rsidR="00FA335B">
        <w:rPr>
          <w:rFonts w:asciiTheme="minorHAnsi" w:hAnsiTheme="minorHAnsi"/>
          <w:sz w:val="20"/>
          <w:szCs w:val="20"/>
        </w:rPr>
        <w:t xml:space="preserve">decrease in losses </w:t>
      </w:r>
      <w:r w:rsidR="00553336">
        <w:rPr>
          <w:rFonts w:asciiTheme="minorHAnsi" w:hAnsiTheme="minorHAnsi"/>
          <w:sz w:val="20"/>
          <w:szCs w:val="20"/>
        </w:rPr>
        <w:t xml:space="preserve"> for</w:t>
      </w:r>
      <w:r w:rsidR="00F312A1">
        <w:rPr>
          <w:rFonts w:asciiTheme="minorHAnsi" w:hAnsiTheme="minorHAnsi"/>
          <w:sz w:val="20"/>
          <w:szCs w:val="20"/>
        </w:rPr>
        <w:t xml:space="preserve"> the current </w:t>
      </w:r>
      <w:r w:rsidR="00FA335B">
        <w:rPr>
          <w:rFonts w:asciiTheme="minorHAnsi" w:hAnsiTheme="minorHAnsi"/>
          <w:sz w:val="20"/>
          <w:szCs w:val="20"/>
        </w:rPr>
        <w:t>month</w:t>
      </w:r>
      <w:r w:rsidR="00553336">
        <w:rPr>
          <w:rFonts w:asciiTheme="minorHAnsi" w:hAnsiTheme="minorHAnsi"/>
          <w:sz w:val="20"/>
          <w:szCs w:val="20"/>
        </w:rPr>
        <w:t xml:space="preserve"> as compared to preceding year corresponding quarter was mainly due </w:t>
      </w:r>
      <w:r w:rsidR="0045557C">
        <w:rPr>
          <w:rFonts w:asciiTheme="minorHAnsi" w:hAnsiTheme="minorHAnsi"/>
          <w:sz w:val="20"/>
          <w:szCs w:val="20"/>
        </w:rPr>
        <w:t>to</w:t>
      </w:r>
      <w:r w:rsidR="00BF1C78" w:rsidRPr="00BF1C78">
        <w:rPr>
          <w:rFonts w:asciiTheme="minorHAnsi" w:hAnsiTheme="minorHAnsi"/>
          <w:sz w:val="20"/>
          <w:szCs w:val="20"/>
        </w:rPr>
        <w:t xml:space="preserve"> </w:t>
      </w:r>
      <w:r w:rsidR="000E1A50">
        <w:rPr>
          <w:rFonts w:asciiTheme="minorHAnsi" w:hAnsiTheme="minorHAnsi"/>
          <w:sz w:val="20"/>
          <w:szCs w:val="20"/>
        </w:rPr>
        <w:t xml:space="preserve">the </w:t>
      </w:r>
      <w:r w:rsidR="00FA335B">
        <w:rPr>
          <w:rFonts w:asciiTheme="minorHAnsi" w:hAnsiTheme="minorHAnsi"/>
          <w:sz w:val="20"/>
          <w:szCs w:val="20"/>
        </w:rPr>
        <w:t xml:space="preserve">share option of RM6.54 million </w:t>
      </w:r>
      <w:r w:rsidR="00BF1C78">
        <w:rPr>
          <w:rFonts w:asciiTheme="minorHAnsi" w:hAnsiTheme="minorHAnsi"/>
          <w:sz w:val="20"/>
          <w:szCs w:val="20"/>
        </w:rPr>
        <w:t>being provided in th</w:t>
      </w:r>
      <w:r w:rsidR="00A82484">
        <w:rPr>
          <w:rFonts w:asciiTheme="minorHAnsi" w:hAnsiTheme="minorHAnsi"/>
          <w:sz w:val="20"/>
          <w:szCs w:val="20"/>
        </w:rPr>
        <w:t xml:space="preserve">e </w:t>
      </w:r>
      <w:r w:rsidR="00FA335B">
        <w:rPr>
          <w:rFonts w:asciiTheme="minorHAnsi" w:hAnsiTheme="minorHAnsi"/>
          <w:sz w:val="20"/>
          <w:szCs w:val="20"/>
        </w:rPr>
        <w:t>preceding year corresponding quarter</w:t>
      </w:r>
      <w:r w:rsidR="00BF1C78">
        <w:rPr>
          <w:rFonts w:asciiTheme="minorHAnsi" w:hAnsiTheme="minorHAnsi"/>
          <w:sz w:val="20"/>
          <w:szCs w:val="20"/>
        </w:rPr>
        <w:t>.</w:t>
      </w:r>
    </w:p>
    <w:p w:rsidR="007E02A4" w:rsidRPr="00863950" w:rsidRDefault="007E02A4" w:rsidP="00863950">
      <w:pPr>
        <w:spacing w:after="0" w:line="240" w:lineRule="auto"/>
        <w:jc w:val="both"/>
        <w:rPr>
          <w:rFonts w:asciiTheme="minorHAnsi" w:hAnsiTheme="minorHAnsi"/>
          <w:sz w:val="20"/>
          <w:szCs w:val="20"/>
        </w:rPr>
      </w:pPr>
    </w:p>
    <w:p w:rsidR="004A40C0" w:rsidRPr="008374DE" w:rsidRDefault="004A40C0" w:rsidP="00C00D27">
      <w:pPr>
        <w:jc w:val="both"/>
        <w:rPr>
          <w:rFonts w:asciiTheme="minorHAnsi" w:hAnsiTheme="minorHAnsi"/>
          <w:b/>
          <w:bCs/>
          <w:sz w:val="20"/>
          <w:szCs w:val="20"/>
          <w:lang w:val="en-US"/>
        </w:rPr>
      </w:pPr>
      <w:r w:rsidRPr="008374DE">
        <w:rPr>
          <w:rFonts w:asciiTheme="minorHAnsi" w:hAnsiTheme="minorHAnsi"/>
          <w:b/>
          <w:bCs/>
          <w:sz w:val="20"/>
          <w:szCs w:val="20"/>
          <w:lang w:val="en-US"/>
        </w:rPr>
        <w:t xml:space="preserve">B2. Comparison </w:t>
      </w:r>
      <w:r w:rsidR="00B954E2" w:rsidRPr="008374DE">
        <w:rPr>
          <w:rFonts w:asciiTheme="minorHAnsi" w:hAnsiTheme="minorHAnsi"/>
          <w:b/>
          <w:bCs/>
          <w:sz w:val="20"/>
          <w:szCs w:val="20"/>
          <w:lang w:val="en-US"/>
        </w:rPr>
        <w:t>to</w:t>
      </w:r>
      <w:r w:rsidR="00EF6CFB">
        <w:rPr>
          <w:rFonts w:asciiTheme="minorHAnsi" w:hAnsiTheme="minorHAnsi"/>
          <w:b/>
          <w:bCs/>
          <w:sz w:val="20"/>
          <w:szCs w:val="20"/>
          <w:lang w:val="en-US"/>
        </w:rPr>
        <w:t xml:space="preserve"> </w:t>
      </w:r>
      <w:r w:rsidR="0022636E" w:rsidRPr="008374DE">
        <w:rPr>
          <w:rFonts w:asciiTheme="minorHAnsi" w:hAnsiTheme="minorHAnsi"/>
          <w:b/>
          <w:bCs/>
          <w:sz w:val="20"/>
          <w:szCs w:val="20"/>
          <w:lang w:val="en-US"/>
        </w:rPr>
        <w:t>the</w:t>
      </w:r>
      <w:r w:rsidRPr="008374DE">
        <w:rPr>
          <w:rFonts w:asciiTheme="minorHAnsi" w:hAnsiTheme="minorHAnsi"/>
          <w:b/>
          <w:bCs/>
          <w:sz w:val="20"/>
          <w:szCs w:val="20"/>
          <w:lang w:val="en-US"/>
        </w:rPr>
        <w:t xml:space="preserve"> Results </w:t>
      </w:r>
      <w:r w:rsidR="0022636E" w:rsidRPr="008374DE">
        <w:rPr>
          <w:rFonts w:asciiTheme="minorHAnsi" w:hAnsiTheme="minorHAnsi"/>
          <w:b/>
          <w:bCs/>
          <w:sz w:val="20"/>
          <w:szCs w:val="20"/>
          <w:lang w:val="en-US"/>
        </w:rPr>
        <w:t>of</w:t>
      </w:r>
      <w:r w:rsidR="00EF6CFB">
        <w:rPr>
          <w:rFonts w:asciiTheme="minorHAnsi" w:hAnsiTheme="minorHAnsi"/>
          <w:b/>
          <w:bCs/>
          <w:sz w:val="20"/>
          <w:szCs w:val="20"/>
          <w:lang w:val="en-US"/>
        </w:rPr>
        <w:t xml:space="preserve"> </w:t>
      </w:r>
      <w:r w:rsidR="0022636E" w:rsidRPr="008374DE">
        <w:rPr>
          <w:rFonts w:asciiTheme="minorHAnsi" w:hAnsiTheme="minorHAnsi"/>
          <w:b/>
          <w:bCs/>
          <w:sz w:val="20"/>
          <w:szCs w:val="20"/>
          <w:lang w:val="en-US"/>
        </w:rPr>
        <w:t>the</w:t>
      </w:r>
      <w:r w:rsidRPr="008374DE">
        <w:rPr>
          <w:rFonts w:asciiTheme="minorHAnsi" w:hAnsiTheme="minorHAnsi"/>
          <w:b/>
          <w:bCs/>
          <w:sz w:val="20"/>
          <w:szCs w:val="20"/>
          <w:lang w:val="en-US"/>
        </w:rPr>
        <w:t xml:space="preserve"> Preceding Quarter</w:t>
      </w:r>
    </w:p>
    <w:tbl>
      <w:tblPr>
        <w:tblW w:w="973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78"/>
        <w:gridCol w:w="2520"/>
        <w:gridCol w:w="2340"/>
      </w:tblGrid>
      <w:tr w:rsidR="004A40C0" w:rsidRPr="008374DE" w:rsidTr="00097F7B">
        <w:trPr>
          <w:trHeight w:val="300"/>
        </w:trPr>
        <w:tc>
          <w:tcPr>
            <w:tcW w:w="4878" w:type="dxa"/>
            <w:tcBorders>
              <w:top w:val="single" w:sz="4" w:space="0" w:color="auto"/>
              <w:bottom w:val="nil"/>
              <w:right w:val="single" w:sz="4" w:space="0" w:color="auto"/>
            </w:tcBorders>
            <w:noWrap/>
          </w:tcPr>
          <w:p w:rsidR="004A40C0" w:rsidRPr="008374DE" w:rsidRDefault="004A40C0" w:rsidP="009F1784">
            <w:pPr>
              <w:rPr>
                <w:rFonts w:asciiTheme="minorHAnsi" w:hAnsiTheme="minorHAnsi" w:cs="Times New Roman"/>
                <w:b/>
                <w:bCs/>
                <w:color w:val="000000"/>
                <w:sz w:val="20"/>
                <w:szCs w:val="20"/>
                <w:lang w:val="en-US"/>
              </w:rPr>
            </w:pPr>
          </w:p>
        </w:tc>
        <w:tc>
          <w:tcPr>
            <w:tcW w:w="2520" w:type="dxa"/>
            <w:tcBorders>
              <w:top w:val="single" w:sz="4" w:space="0" w:color="auto"/>
              <w:left w:val="single" w:sz="4" w:space="0" w:color="auto"/>
              <w:bottom w:val="nil"/>
              <w:right w:val="single" w:sz="4" w:space="0" w:color="auto"/>
            </w:tcBorders>
            <w:noWrap/>
          </w:tcPr>
          <w:p w:rsidR="00097F7B" w:rsidRPr="008374DE" w:rsidRDefault="004A40C0" w:rsidP="00097F7B">
            <w:pPr>
              <w:jc w:val="right"/>
              <w:rPr>
                <w:rFonts w:asciiTheme="minorHAnsi" w:hAnsiTheme="minorHAnsi"/>
                <w:b/>
                <w:bCs/>
                <w:color w:val="000000"/>
                <w:sz w:val="20"/>
                <w:szCs w:val="20"/>
              </w:rPr>
            </w:pPr>
            <w:r w:rsidRPr="008374DE">
              <w:rPr>
                <w:rFonts w:asciiTheme="minorHAnsi" w:hAnsiTheme="minorHAnsi"/>
                <w:b/>
                <w:bCs/>
                <w:color w:val="000000"/>
                <w:sz w:val="20"/>
                <w:szCs w:val="20"/>
              </w:rPr>
              <w:t>Current Quarter</w:t>
            </w:r>
            <w:r w:rsidR="00097F7B">
              <w:rPr>
                <w:rFonts w:asciiTheme="minorHAnsi" w:hAnsiTheme="minorHAnsi"/>
                <w:b/>
                <w:bCs/>
                <w:color w:val="000000"/>
                <w:sz w:val="20"/>
                <w:szCs w:val="20"/>
              </w:rPr>
              <w:t xml:space="preserve"> Ended</w:t>
            </w:r>
          </w:p>
        </w:tc>
        <w:tc>
          <w:tcPr>
            <w:tcW w:w="2340" w:type="dxa"/>
            <w:tcBorders>
              <w:top w:val="single" w:sz="4" w:space="0" w:color="auto"/>
              <w:left w:val="single" w:sz="4" w:space="0" w:color="auto"/>
              <w:bottom w:val="nil"/>
            </w:tcBorders>
            <w:noWrap/>
          </w:tcPr>
          <w:p w:rsidR="004A40C0" w:rsidRPr="008374DE" w:rsidRDefault="004A40C0" w:rsidP="009F1784">
            <w:pPr>
              <w:jc w:val="right"/>
              <w:rPr>
                <w:rFonts w:asciiTheme="minorHAnsi" w:hAnsiTheme="minorHAnsi"/>
                <w:b/>
                <w:bCs/>
                <w:color w:val="000000"/>
                <w:sz w:val="20"/>
                <w:szCs w:val="20"/>
              </w:rPr>
            </w:pPr>
            <w:r w:rsidRPr="008374DE">
              <w:rPr>
                <w:rFonts w:asciiTheme="minorHAnsi" w:hAnsiTheme="minorHAnsi"/>
                <w:b/>
                <w:bCs/>
                <w:color w:val="000000"/>
                <w:sz w:val="20"/>
                <w:szCs w:val="20"/>
              </w:rPr>
              <w:t>Preceding Quarter</w:t>
            </w:r>
            <w:r w:rsidR="00097F7B">
              <w:rPr>
                <w:rFonts w:asciiTheme="minorHAnsi" w:hAnsiTheme="minorHAnsi"/>
                <w:b/>
                <w:bCs/>
                <w:color w:val="000000"/>
                <w:sz w:val="20"/>
                <w:szCs w:val="20"/>
              </w:rPr>
              <w:t xml:space="preserve"> Ended</w:t>
            </w:r>
          </w:p>
        </w:tc>
      </w:tr>
      <w:tr w:rsidR="00FD2016" w:rsidRPr="008374DE" w:rsidTr="00097F7B">
        <w:trPr>
          <w:trHeight w:val="300"/>
        </w:trPr>
        <w:tc>
          <w:tcPr>
            <w:tcW w:w="4878" w:type="dxa"/>
            <w:tcBorders>
              <w:top w:val="nil"/>
              <w:bottom w:val="nil"/>
              <w:right w:val="single" w:sz="4" w:space="0" w:color="auto"/>
            </w:tcBorders>
            <w:noWrap/>
          </w:tcPr>
          <w:p w:rsidR="00FD2016" w:rsidRPr="008374DE" w:rsidRDefault="00FD2016" w:rsidP="009F1784">
            <w:pPr>
              <w:rPr>
                <w:rFonts w:asciiTheme="minorHAnsi" w:hAnsiTheme="minorHAnsi" w:cs="Times New Roman"/>
                <w:b/>
                <w:bCs/>
                <w:color w:val="000000"/>
                <w:sz w:val="20"/>
                <w:szCs w:val="20"/>
              </w:rPr>
            </w:pPr>
          </w:p>
        </w:tc>
        <w:tc>
          <w:tcPr>
            <w:tcW w:w="2520" w:type="dxa"/>
            <w:tcBorders>
              <w:top w:val="nil"/>
              <w:left w:val="single" w:sz="4" w:space="0" w:color="auto"/>
              <w:bottom w:val="nil"/>
              <w:right w:val="single" w:sz="4" w:space="0" w:color="auto"/>
            </w:tcBorders>
            <w:noWrap/>
          </w:tcPr>
          <w:p w:rsidR="00FD2016" w:rsidRPr="008374DE" w:rsidRDefault="00FD2016" w:rsidP="00FA335B">
            <w:pPr>
              <w:ind w:left="720"/>
              <w:jc w:val="right"/>
              <w:rPr>
                <w:rFonts w:asciiTheme="minorHAnsi" w:hAnsiTheme="minorHAnsi"/>
                <w:b/>
                <w:bCs/>
                <w:color w:val="000000"/>
                <w:sz w:val="20"/>
                <w:szCs w:val="20"/>
              </w:rPr>
            </w:pPr>
            <w:r>
              <w:rPr>
                <w:rFonts w:asciiTheme="minorHAnsi" w:hAnsiTheme="minorHAnsi"/>
                <w:b/>
                <w:bCs/>
                <w:color w:val="000000"/>
                <w:sz w:val="20"/>
                <w:szCs w:val="20"/>
              </w:rPr>
              <w:t>3</w:t>
            </w:r>
            <w:r w:rsidR="00FA335B">
              <w:rPr>
                <w:rFonts w:asciiTheme="minorHAnsi" w:hAnsiTheme="minorHAnsi"/>
                <w:b/>
                <w:bCs/>
                <w:color w:val="000000"/>
                <w:sz w:val="20"/>
                <w:szCs w:val="20"/>
              </w:rPr>
              <w:t>1 July</w:t>
            </w:r>
            <w:r>
              <w:rPr>
                <w:rFonts w:asciiTheme="minorHAnsi" w:hAnsiTheme="minorHAnsi"/>
                <w:b/>
                <w:bCs/>
                <w:color w:val="000000"/>
                <w:sz w:val="20"/>
                <w:szCs w:val="20"/>
              </w:rPr>
              <w:t xml:space="preserve"> 2016</w:t>
            </w:r>
          </w:p>
        </w:tc>
        <w:tc>
          <w:tcPr>
            <w:tcW w:w="2340" w:type="dxa"/>
            <w:tcBorders>
              <w:top w:val="nil"/>
              <w:left w:val="single" w:sz="4" w:space="0" w:color="auto"/>
              <w:bottom w:val="nil"/>
            </w:tcBorders>
            <w:noWrap/>
          </w:tcPr>
          <w:p w:rsidR="00FD2016" w:rsidRPr="008374DE" w:rsidRDefault="00FD2016" w:rsidP="00FA335B">
            <w:pPr>
              <w:ind w:left="720"/>
              <w:jc w:val="right"/>
              <w:rPr>
                <w:rFonts w:asciiTheme="minorHAnsi" w:hAnsiTheme="minorHAnsi"/>
                <w:b/>
                <w:bCs/>
                <w:color w:val="000000"/>
                <w:sz w:val="20"/>
                <w:szCs w:val="20"/>
              </w:rPr>
            </w:pPr>
            <w:r>
              <w:rPr>
                <w:rFonts w:asciiTheme="minorHAnsi" w:hAnsiTheme="minorHAnsi"/>
                <w:b/>
                <w:bCs/>
                <w:color w:val="000000"/>
                <w:sz w:val="20"/>
                <w:szCs w:val="20"/>
              </w:rPr>
              <w:t>3</w:t>
            </w:r>
            <w:r w:rsidR="00FA335B">
              <w:rPr>
                <w:rFonts w:asciiTheme="minorHAnsi" w:hAnsiTheme="minorHAnsi"/>
                <w:b/>
                <w:bCs/>
                <w:color w:val="000000"/>
                <w:sz w:val="20"/>
                <w:szCs w:val="20"/>
              </w:rPr>
              <w:t>0 June</w:t>
            </w:r>
            <w:r>
              <w:rPr>
                <w:rFonts w:asciiTheme="minorHAnsi" w:hAnsiTheme="minorHAnsi"/>
                <w:b/>
                <w:bCs/>
                <w:color w:val="000000"/>
                <w:sz w:val="20"/>
                <w:szCs w:val="20"/>
              </w:rPr>
              <w:t xml:space="preserve"> 2016</w:t>
            </w:r>
          </w:p>
        </w:tc>
      </w:tr>
      <w:tr w:rsidR="00FD2016" w:rsidRPr="008374DE" w:rsidTr="00097F7B">
        <w:trPr>
          <w:trHeight w:val="315"/>
        </w:trPr>
        <w:tc>
          <w:tcPr>
            <w:tcW w:w="4878" w:type="dxa"/>
            <w:tcBorders>
              <w:top w:val="nil"/>
              <w:bottom w:val="single" w:sz="4" w:space="0" w:color="auto"/>
              <w:right w:val="single" w:sz="4" w:space="0" w:color="auto"/>
            </w:tcBorders>
            <w:noWrap/>
          </w:tcPr>
          <w:p w:rsidR="00FD2016" w:rsidRPr="008374DE" w:rsidRDefault="00FD2016" w:rsidP="009F1784">
            <w:pPr>
              <w:rPr>
                <w:rFonts w:asciiTheme="minorHAnsi" w:hAnsiTheme="minorHAnsi" w:cs="Times New Roman"/>
                <w:b/>
                <w:bCs/>
                <w:color w:val="000000"/>
                <w:sz w:val="20"/>
                <w:szCs w:val="20"/>
              </w:rPr>
            </w:pPr>
          </w:p>
        </w:tc>
        <w:tc>
          <w:tcPr>
            <w:tcW w:w="2520" w:type="dxa"/>
            <w:tcBorders>
              <w:top w:val="nil"/>
              <w:left w:val="single" w:sz="4" w:space="0" w:color="auto"/>
              <w:bottom w:val="single" w:sz="4" w:space="0" w:color="auto"/>
              <w:right w:val="single" w:sz="4" w:space="0" w:color="auto"/>
            </w:tcBorders>
            <w:noWrap/>
          </w:tcPr>
          <w:p w:rsidR="00FD2016" w:rsidRPr="008374DE" w:rsidRDefault="00FD2016" w:rsidP="009F1784">
            <w:pPr>
              <w:jc w:val="right"/>
              <w:rPr>
                <w:rFonts w:asciiTheme="minorHAnsi" w:hAnsiTheme="minorHAnsi"/>
                <w:b/>
                <w:bCs/>
                <w:color w:val="000000"/>
                <w:sz w:val="20"/>
                <w:szCs w:val="20"/>
              </w:rPr>
            </w:pPr>
            <w:r w:rsidRPr="008374DE">
              <w:rPr>
                <w:rFonts w:asciiTheme="minorHAnsi" w:hAnsiTheme="minorHAnsi"/>
                <w:b/>
                <w:bCs/>
                <w:color w:val="000000"/>
                <w:sz w:val="20"/>
                <w:szCs w:val="20"/>
              </w:rPr>
              <w:t>RM'000</w:t>
            </w:r>
          </w:p>
        </w:tc>
        <w:tc>
          <w:tcPr>
            <w:tcW w:w="2340" w:type="dxa"/>
            <w:tcBorders>
              <w:top w:val="nil"/>
              <w:left w:val="single" w:sz="4" w:space="0" w:color="auto"/>
              <w:bottom w:val="single" w:sz="4" w:space="0" w:color="auto"/>
            </w:tcBorders>
            <w:noWrap/>
          </w:tcPr>
          <w:p w:rsidR="00FD2016" w:rsidRPr="008374DE" w:rsidRDefault="00FD2016" w:rsidP="002505E4">
            <w:pPr>
              <w:jc w:val="right"/>
              <w:rPr>
                <w:rFonts w:asciiTheme="minorHAnsi" w:hAnsiTheme="minorHAnsi"/>
                <w:b/>
                <w:bCs/>
                <w:color w:val="000000"/>
                <w:sz w:val="20"/>
                <w:szCs w:val="20"/>
              </w:rPr>
            </w:pPr>
            <w:r w:rsidRPr="008374DE">
              <w:rPr>
                <w:rFonts w:asciiTheme="minorHAnsi" w:hAnsiTheme="minorHAnsi"/>
                <w:b/>
                <w:bCs/>
                <w:color w:val="000000"/>
                <w:sz w:val="20"/>
                <w:szCs w:val="20"/>
              </w:rPr>
              <w:t>RM'000</w:t>
            </w:r>
          </w:p>
        </w:tc>
      </w:tr>
      <w:tr w:rsidR="00FD2016" w:rsidRPr="008374DE" w:rsidTr="00B33854">
        <w:trPr>
          <w:trHeight w:val="210"/>
        </w:trPr>
        <w:tc>
          <w:tcPr>
            <w:tcW w:w="4878" w:type="dxa"/>
            <w:tcBorders>
              <w:top w:val="single" w:sz="4" w:space="0" w:color="auto"/>
              <w:right w:val="single" w:sz="4" w:space="0" w:color="auto"/>
            </w:tcBorders>
            <w:noWrap/>
          </w:tcPr>
          <w:p w:rsidR="00FD2016" w:rsidRPr="008374DE" w:rsidRDefault="00FD2016" w:rsidP="009F1784">
            <w:pPr>
              <w:rPr>
                <w:rFonts w:asciiTheme="minorHAnsi" w:hAnsiTheme="minorHAnsi"/>
                <w:color w:val="000000"/>
                <w:sz w:val="20"/>
                <w:szCs w:val="20"/>
              </w:rPr>
            </w:pPr>
            <w:r w:rsidRPr="008374DE">
              <w:rPr>
                <w:rFonts w:asciiTheme="minorHAnsi" w:hAnsiTheme="minorHAnsi"/>
                <w:color w:val="000000"/>
                <w:sz w:val="20"/>
                <w:szCs w:val="20"/>
              </w:rPr>
              <w:t xml:space="preserve">Revenue </w:t>
            </w:r>
          </w:p>
        </w:tc>
        <w:tc>
          <w:tcPr>
            <w:tcW w:w="2520" w:type="dxa"/>
            <w:tcBorders>
              <w:top w:val="single" w:sz="4" w:space="0" w:color="auto"/>
              <w:left w:val="single" w:sz="4" w:space="0" w:color="auto"/>
              <w:right w:val="single" w:sz="4" w:space="0" w:color="auto"/>
            </w:tcBorders>
            <w:noWrap/>
            <w:vAlign w:val="bottom"/>
          </w:tcPr>
          <w:p w:rsidR="00FD2016" w:rsidRPr="00B33854" w:rsidRDefault="00FA335B" w:rsidP="00265664">
            <w:pPr>
              <w:spacing w:after="0" w:line="240" w:lineRule="auto"/>
              <w:ind w:right="-18"/>
              <w:jc w:val="right"/>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2340" w:type="dxa"/>
            <w:tcBorders>
              <w:top w:val="single" w:sz="4" w:space="0" w:color="auto"/>
              <w:left w:val="single" w:sz="4" w:space="0" w:color="auto"/>
            </w:tcBorders>
            <w:noWrap/>
            <w:vAlign w:val="bottom"/>
          </w:tcPr>
          <w:p w:rsidR="00FD2016" w:rsidRPr="00B33854" w:rsidRDefault="00FA335B" w:rsidP="002505E4">
            <w:pPr>
              <w:spacing w:after="0" w:line="240" w:lineRule="auto"/>
              <w:ind w:right="-18"/>
              <w:jc w:val="right"/>
              <w:rPr>
                <w:rFonts w:asciiTheme="minorHAnsi" w:hAnsiTheme="minorHAnsi" w:cstheme="minorHAnsi"/>
                <w:color w:val="000000"/>
                <w:sz w:val="20"/>
                <w:szCs w:val="20"/>
              </w:rPr>
            </w:pPr>
            <w:r>
              <w:rPr>
                <w:rFonts w:asciiTheme="minorHAnsi" w:hAnsiTheme="minorHAnsi" w:cstheme="minorHAnsi"/>
                <w:color w:val="000000"/>
                <w:sz w:val="20"/>
                <w:szCs w:val="20"/>
              </w:rPr>
              <w:t>226</w:t>
            </w:r>
          </w:p>
        </w:tc>
      </w:tr>
      <w:tr w:rsidR="00FD2016" w:rsidRPr="008374DE" w:rsidTr="004658D5">
        <w:trPr>
          <w:trHeight w:val="315"/>
        </w:trPr>
        <w:tc>
          <w:tcPr>
            <w:tcW w:w="4878" w:type="dxa"/>
            <w:tcBorders>
              <w:bottom w:val="single" w:sz="4" w:space="0" w:color="auto"/>
              <w:right w:val="single" w:sz="4" w:space="0" w:color="auto"/>
            </w:tcBorders>
            <w:noWrap/>
          </w:tcPr>
          <w:p w:rsidR="00FD2016" w:rsidRPr="008374DE" w:rsidRDefault="00FD2016" w:rsidP="009F1784">
            <w:pPr>
              <w:rPr>
                <w:rFonts w:asciiTheme="minorHAnsi" w:hAnsiTheme="minorHAnsi"/>
                <w:color w:val="000000"/>
                <w:sz w:val="20"/>
                <w:szCs w:val="20"/>
              </w:rPr>
            </w:pPr>
            <w:r>
              <w:rPr>
                <w:rFonts w:asciiTheme="minorHAnsi" w:hAnsiTheme="minorHAnsi"/>
                <w:color w:val="000000"/>
                <w:sz w:val="20"/>
                <w:szCs w:val="20"/>
              </w:rPr>
              <w:t>Profit/(Loss)</w:t>
            </w:r>
            <w:r w:rsidRPr="008374DE">
              <w:rPr>
                <w:rFonts w:asciiTheme="minorHAnsi" w:hAnsiTheme="minorHAnsi"/>
                <w:color w:val="000000"/>
                <w:sz w:val="20"/>
                <w:szCs w:val="20"/>
              </w:rPr>
              <w:t xml:space="preserve"> before tax</w:t>
            </w:r>
          </w:p>
        </w:tc>
        <w:tc>
          <w:tcPr>
            <w:tcW w:w="2520" w:type="dxa"/>
            <w:tcBorders>
              <w:left w:val="single" w:sz="4" w:space="0" w:color="auto"/>
              <w:bottom w:val="single" w:sz="4" w:space="0" w:color="auto"/>
              <w:right w:val="single" w:sz="4" w:space="0" w:color="auto"/>
            </w:tcBorders>
            <w:noWrap/>
            <w:vAlign w:val="bottom"/>
          </w:tcPr>
          <w:p w:rsidR="00FD2016" w:rsidRPr="00B33854" w:rsidRDefault="00FD2016" w:rsidP="00FA335B">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FA335B">
              <w:rPr>
                <w:rFonts w:asciiTheme="minorHAnsi" w:hAnsiTheme="minorHAnsi" w:cstheme="minorHAnsi"/>
                <w:color w:val="000000"/>
                <w:sz w:val="20"/>
                <w:szCs w:val="20"/>
              </w:rPr>
              <w:t>409</w:t>
            </w:r>
            <w:r>
              <w:rPr>
                <w:rFonts w:asciiTheme="minorHAnsi" w:hAnsiTheme="minorHAnsi" w:cstheme="minorHAnsi"/>
                <w:color w:val="000000"/>
                <w:sz w:val="20"/>
                <w:szCs w:val="20"/>
              </w:rPr>
              <w:t>)</w:t>
            </w:r>
          </w:p>
        </w:tc>
        <w:tc>
          <w:tcPr>
            <w:tcW w:w="2340" w:type="dxa"/>
            <w:tcBorders>
              <w:left w:val="single" w:sz="4" w:space="0" w:color="auto"/>
              <w:bottom w:val="single" w:sz="4" w:space="0" w:color="auto"/>
            </w:tcBorders>
            <w:noWrap/>
            <w:vAlign w:val="bottom"/>
          </w:tcPr>
          <w:p w:rsidR="00FD2016" w:rsidRPr="00B33854" w:rsidRDefault="00FD2016" w:rsidP="00FA335B">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(2,</w:t>
            </w:r>
            <w:r w:rsidR="00FA335B">
              <w:rPr>
                <w:rFonts w:asciiTheme="minorHAnsi" w:hAnsiTheme="minorHAnsi" w:cstheme="minorHAnsi"/>
                <w:color w:val="000000"/>
                <w:sz w:val="20"/>
                <w:szCs w:val="20"/>
              </w:rPr>
              <w:t>734</w:t>
            </w:r>
            <w:r>
              <w:rPr>
                <w:rFonts w:asciiTheme="minorHAnsi" w:hAnsiTheme="minorHAnsi" w:cstheme="minorHAnsi"/>
                <w:color w:val="000000"/>
                <w:sz w:val="20"/>
                <w:szCs w:val="20"/>
              </w:rPr>
              <w:t>)</w:t>
            </w:r>
          </w:p>
        </w:tc>
      </w:tr>
    </w:tbl>
    <w:p w:rsidR="004A40C0" w:rsidRPr="008374DE" w:rsidRDefault="004A40C0" w:rsidP="00E3688D">
      <w:pPr>
        <w:spacing w:after="0" w:line="240" w:lineRule="auto"/>
        <w:jc w:val="both"/>
        <w:rPr>
          <w:rFonts w:asciiTheme="minorHAnsi" w:hAnsiTheme="minorHAnsi"/>
          <w:sz w:val="20"/>
          <w:szCs w:val="20"/>
          <w:lang w:val="en-US"/>
        </w:rPr>
      </w:pPr>
    </w:p>
    <w:p w:rsidR="00F84980" w:rsidRPr="002A1756" w:rsidRDefault="00F84980" w:rsidP="00F84980">
      <w:pPr>
        <w:spacing w:after="0" w:line="240" w:lineRule="auto"/>
        <w:jc w:val="both"/>
        <w:rPr>
          <w:rFonts w:asciiTheme="minorHAnsi" w:hAnsiTheme="minorHAnsi"/>
          <w:sz w:val="20"/>
          <w:szCs w:val="20"/>
          <w:highlight w:val="yellow"/>
        </w:rPr>
      </w:pPr>
      <w:r w:rsidRPr="008374DE">
        <w:rPr>
          <w:rFonts w:asciiTheme="minorHAnsi" w:hAnsiTheme="minorHAnsi"/>
          <w:sz w:val="20"/>
          <w:szCs w:val="20"/>
          <w:lang w:val="en-US"/>
        </w:rPr>
        <w:t xml:space="preserve">Revenue of the Group </w:t>
      </w:r>
      <w:r>
        <w:rPr>
          <w:rFonts w:asciiTheme="minorHAnsi" w:hAnsiTheme="minorHAnsi"/>
          <w:sz w:val="20"/>
          <w:szCs w:val="20"/>
          <w:lang w:val="en-US"/>
        </w:rPr>
        <w:t xml:space="preserve">decreased </w:t>
      </w:r>
      <w:r w:rsidRPr="008374DE">
        <w:rPr>
          <w:rFonts w:asciiTheme="minorHAnsi" w:hAnsiTheme="minorHAnsi"/>
          <w:sz w:val="20"/>
          <w:szCs w:val="20"/>
          <w:lang w:val="en-US"/>
        </w:rPr>
        <w:t>to RM</w:t>
      </w:r>
      <w:r>
        <w:rPr>
          <w:rFonts w:asciiTheme="minorHAnsi" w:hAnsiTheme="minorHAnsi"/>
          <w:sz w:val="20"/>
          <w:szCs w:val="20"/>
          <w:lang w:val="en-US"/>
        </w:rPr>
        <w:t>0.3</w:t>
      </w:r>
      <w:r w:rsidR="00FA335B">
        <w:rPr>
          <w:rFonts w:asciiTheme="minorHAnsi" w:hAnsiTheme="minorHAnsi"/>
          <w:sz w:val="20"/>
          <w:szCs w:val="20"/>
          <w:lang w:val="en-US"/>
        </w:rPr>
        <w:t>7</w:t>
      </w:r>
      <w:r w:rsidRPr="008374DE">
        <w:rPr>
          <w:rFonts w:asciiTheme="minorHAnsi" w:hAnsiTheme="minorHAnsi"/>
          <w:sz w:val="20"/>
          <w:szCs w:val="20"/>
          <w:lang w:val="en-US"/>
        </w:rPr>
        <w:t xml:space="preserve"> million for the current </w:t>
      </w:r>
      <w:r w:rsidR="00FA335B">
        <w:rPr>
          <w:rFonts w:asciiTheme="minorHAnsi" w:hAnsiTheme="minorHAnsi"/>
          <w:sz w:val="20"/>
          <w:szCs w:val="20"/>
          <w:lang w:val="en-US"/>
        </w:rPr>
        <w:t xml:space="preserve">month </w:t>
      </w:r>
      <w:r w:rsidRPr="008374DE">
        <w:rPr>
          <w:rFonts w:asciiTheme="minorHAnsi" w:hAnsiTheme="minorHAnsi"/>
          <w:sz w:val="20"/>
          <w:szCs w:val="20"/>
          <w:lang w:val="en-US"/>
        </w:rPr>
        <w:t>ended</w:t>
      </w:r>
      <w:r>
        <w:rPr>
          <w:rFonts w:asciiTheme="minorHAnsi" w:hAnsiTheme="minorHAnsi"/>
          <w:sz w:val="20"/>
          <w:szCs w:val="20"/>
          <w:lang w:val="en-US"/>
        </w:rPr>
        <w:t xml:space="preserve"> </w:t>
      </w:r>
      <w:r w:rsidR="002505E4" w:rsidRPr="00554756">
        <w:rPr>
          <w:sz w:val="20"/>
          <w:szCs w:val="20"/>
        </w:rPr>
        <w:t>3</w:t>
      </w:r>
      <w:r w:rsidR="00FA335B">
        <w:rPr>
          <w:sz w:val="20"/>
          <w:szCs w:val="20"/>
        </w:rPr>
        <w:t>1 July</w:t>
      </w:r>
      <w:r w:rsidR="002505E4" w:rsidRPr="00554756">
        <w:rPr>
          <w:sz w:val="20"/>
          <w:szCs w:val="20"/>
        </w:rPr>
        <w:t xml:space="preserve"> </w:t>
      </w:r>
      <w:r>
        <w:rPr>
          <w:rFonts w:asciiTheme="minorHAnsi" w:hAnsiTheme="minorHAnsi"/>
          <w:sz w:val="20"/>
          <w:szCs w:val="20"/>
          <w:lang w:val="en-US"/>
        </w:rPr>
        <w:t>2016</w:t>
      </w:r>
      <w:r w:rsidRPr="008374DE">
        <w:rPr>
          <w:rFonts w:asciiTheme="minorHAnsi" w:hAnsiTheme="minorHAnsi"/>
          <w:sz w:val="20"/>
          <w:szCs w:val="20"/>
          <w:lang w:val="en-US"/>
        </w:rPr>
        <w:t xml:space="preserve"> as compared to RM</w:t>
      </w:r>
      <w:r w:rsidR="00FA335B">
        <w:rPr>
          <w:rFonts w:asciiTheme="minorHAnsi" w:hAnsiTheme="minorHAnsi"/>
          <w:sz w:val="20"/>
          <w:szCs w:val="20"/>
          <w:lang w:val="en-US"/>
        </w:rPr>
        <w:t>0.23</w:t>
      </w:r>
      <w:r w:rsidRPr="008374DE">
        <w:rPr>
          <w:rFonts w:asciiTheme="minorHAnsi" w:hAnsiTheme="minorHAnsi"/>
          <w:sz w:val="20"/>
          <w:szCs w:val="20"/>
          <w:lang w:val="en-US"/>
        </w:rPr>
        <w:t xml:space="preserve"> million registered in the preceding quarter ended </w:t>
      </w:r>
      <w:r>
        <w:rPr>
          <w:rFonts w:asciiTheme="minorHAnsi" w:hAnsiTheme="minorHAnsi"/>
          <w:sz w:val="20"/>
          <w:szCs w:val="20"/>
          <w:lang w:val="en-US"/>
        </w:rPr>
        <w:t>3</w:t>
      </w:r>
      <w:r w:rsidR="00FA335B">
        <w:rPr>
          <w:rFonts w:asciiTheme="minorHAnsi" w:hAnsiTheme="minorHAnsi"/>
          <w:sz w:val="20"/>
          <w:szCs w:val="20"/>
          <w:lang w:val="en-US"/>
        </w:rPr>
        <w:t>0June</w:t>
      </w:r>
      <w:r w:rsidR="002505E4">
        <w:rPr>
          <w:rFonts w:asciiTheme="minorHAnsi" w:hAnsiTheme="minorHAnsi"/>
          <w:sz w:val="20"/>
          <w:szCs w:val="20"/>
          <w:lang w:val="en-US"/>
        </w:rPr>
        <w:t xml:space="preserve"> </w:t>
      </w:r>
      <w:r>
        <w:rPr>
          <w:rFonts w:asciiTheme="minorHAnsi" w:hAnsiTheme="minorHAnsi"/>
          <w:sz w:val="20"/>
          <w:szCs w:val="20"/>
          <w:lang w:val="en-US"/>
        </w:rPr>
        <w:t>201</w:t>
      </w:r>
      <w:r w:rsidR="002505E4">
        <w:rPr>
          <w:rFonts w:asciiTheme="minorHAnsi" w:hAnsiTheme="minorHAnsi"/>
          <w:sz w:val="20"/>
          <w:szCs w:val="20"/>
          <w:lang w:val="en-US"/>
        </w:rPr>
        <w:t>6</w:t>
      </w:r>
      <w:r w:rsidRPr="008374DE">
        <w:rPr>
          <w:rFonts w:asciiTheme="minorHAnsi" w:hAnsiTheme="minorHAnsi"/>
          <w:sz w:val="20"/>
          <w:szCs w:val="20"/>
          <w:lang w:val="en-US"/>
        </w:rPr>
        <w:t xml:space="preserve"> </w:t>
      </w:r>
      <w:r>
        <w:rPr>
          <w:rFonts w:asciiTheme="minorHAnsi" w:hAnsiTheme="minorHAnsi"/>
          <w:sz w:val="20"/>
          <w:szCs w:val="20"/>
          <w:lang w:val="en-US"/>
        </w:rPr>
        <w:t>due to slow in sales from software solutions and related equipment supplies. The Group recorded a loss</w:t>
      </w:r>
      <w:r w:rsidRPr="008374DE">
        <w:rPr>
          <w:rFonts w:asciiTheme="minorHAnsi" w:hAnsiTheme="minorHAnsi"/>
          <w:sz w:val="20"/>
          <w:szCs w:val="20"/>
          <w:lang w:val="en-US"/>
        </w:rPr>
        <w:t xml:space="preserve"> before taxation for the current </w:t>
      </w:r>
      <w:r w:rsidR="00FA335B">
        <w:rPr>
          <w:rFonts w:asciiTheme="minorHAnsi" w:hAnsiTheme="minorHAnsi"/>
          <w:sz w:val="20"/>
          <w:szCs w:val="20"/>
          <w:lang w:val="en-US"/>
        </w:rPr>
        <w:t>month</w:t>
      </w:r>
      <w:r w:rsidRPr="008374DE">
        <w:rPr>
          <w:rFonts w:asciiTheme="minorHAnsi" w:hAnsiTheme="minorHAnsi"/>
          <w:sz w:val="20"/>
          <w:szCs w:val="20"/>
          <w:lang w:val="en-US"/>
        </w:rPr>
        <w:t xml:space="preserve"> ended </w:t>
      </w:r>
      <w:r w:rsidR="00F22094" w:rsidRPr="00554756">
        <w:rPr>
          <w:sz w:val="20"/>
          <w:szCs w:val="20"/>
        </w:rPr>
        <w:t>3</w:t>
      </w:r>
      <w:r w:rsidR="00FA335B">
        <w:rPr>
          <w:sz w:val="20"/>
          <w:szCs w:val="20"/>
        </w:rPr>
        <w:t xml:space="preserve">1 July </w:t>
      </w:r>
      <w:r>
        <w:rPr>
          <w:rFonts w:asciiTheme="minorHAnsi" w:hAnsiTheme="minorHAnsi"/>
          <w:sz w:val="20"/>
          <w:szCs w:val="20"/>
          <w:lang w:val="en-US"/>
        </w:rPr>
        <w:t xml:space="preserve">2016 </w:t>
      </w:r>
      <w:r w:rsidRPr="008374DE">
        <w:rPr>
          <w:rFonts w:asciiTheme="minorHAnsi" w:hAnsiTheme="minorHAnsi"/>
          <w:sz w:val="20"/>
          <w:szCs w:val="20"/>
          <w:lang w:val="en-US"/>
        </w:rPr>
        <w:t>of RM</w:t>
      </w:r>
      <w:r w:rsidR="00FA335B">
        <w:rPr>
          <w:rFonts w:asciiTheme="minorHAnsi" w:hAnsiTheme="minorHAnsi"/>
          <w:sz w:val="20"/>
          <w:szCs w:val="20"/>
          <w:lang w:val="en-US"/>
        </w:rPr>
        <w:t>0.41</w:t>
      </w:r>
      <w:r w:rsidRPr="008374DE">
        <w:rPr>
          <w:rFonts w:asciiTheme="minorHAnsi" w:hAnsiTheme="minorHAnsi"/>
          <w:sz w:val="20"/>
          <w:szCs w:val="20"/>
          <w:lang w:val="en-US"/>
        </w:rPr>
        <w:t xml:space="preserve"> million</w:t>
      </w:r>
      <w:r>
        <w:rPr>
          <w:rFonts w:asciiTheme="minorHAnsi" w:hAnsiTheme="minorHAnsi"/>
          <w:sz w:val="20"/>
          <w:szCs w:val="20"/>
          <w:lang w:val="en-US"/>
        </w:rPr>
        <w:t xml:space="preserve"> as </w:t>
      </w:r>
      <w:r w:rsidRPr="008374DE">
        <w:rPr>
          <w:rFonts w:asciiTheme="minorHAnsi" w:hAnsiTheme="minorHAnsi"/>
          <w:sz w:val="20"/>
          <w:szCs w:val="20"/>
          <w:lang w:val="en-US"/>
        </w:rPr>
        <w:t>compared to preceding quarter ended 3</w:t>
      </w:r>
      <w:r>
        <w:rPr>
          <w:rFonts w:asciiTheme="minorHAnsi" w:hAnsiTheme="minorHAnsi"/>
          <w:sz w:val="20"/>
          <w:szCs w:val="20"/>
          <w:lang w:val="en-US"/>
        </w:rPr>
        <w:t xml:space="preserve">0 </w:t>
      </w:r>
      <w:r w:rsidR="00FA335B">
        <w:rPr>
          <w:rFonts w:asciiTheme="minorHAnsi" w:hAnsiTheme="minorHAnsi"/>
          <w:sz w:val="20"/>
          <w:szCs w:val="20"/>
          <w:lang w:val="en-US"/>
        </w:rPr>
        <w:t xml:space="preserve">June </w:t>
      </w:r>
      <w:r w:rsidRPr="008374DE">
        <w:rPr>
          <w:rFonts w:asciiTheme="minorHAnsi" w:hAnsiTheme="minorHAnsi"/>
          <w:sz w:val="20"/>
          <w:szCs w:val="20"/>
          <w:lang w:val="en-US"/>
        </w:rPr>
        <w:t>201</w:t>
      </w:r>
      <w:r w:rsidR="00FA335B">
        <w:rPr>
          <w:rFonts w:asciiTheme="minorHAnsi" w:hAnsiTheme="minorHAnsi"/>
          <w:sz w:val="20"/>
          <w:szCs w:val="20"/>
          <w:lang w:val="en-US"/>
        </w:rPr>
        <w:t>6</w:t>
      </w:r>
      <w:r>
        <w:rPr>
          <w:rFonts w:asciiTheme="minorHAnsi" w:hAnsiTheme="minorHAnsi"/>
          <w:sz w:val="20"/>
          <w:szCs w:val="20"/>
          <w:lang w:val="en-US"/>
        </w:rPr>
        <w:t xml:space="preserve">’s </w:t>
      </w:r>
      <w:r w:rsidR="00FA335B">
        <w:rPr>
          <w:rFonts w:asciiTheme="minorHAnsi" w:hAnsiTheme="minorHAnsi"/>
          <w:sz w:val="20"/>
          <w:szCs w:val="20"/>
          <w:lang w:val="en-US"/>
        </w:rPr>
        <w:t>loss</w:t>
      </w:r>
      <w:r w:rsidRPr="008374DE">
        <w:rPr>
          <w:rFonts w:asciiTheme="minorHAnsi" w:hAnsiTheme="minorHAnsi"/>
          <w:sz w:val="20"/>
          <w:szCs w:val="20"/>
          <w:lang w:val="en-US"/>
        </w:rPr>
        <w:t xml:space="preserve"> before taxation of RM</w:t>
      </w:r>
      <w:r w:rsidR="00FA335B">
        <w:rPr>
          <w:rFonts w:asciiTheme="minorHAnsi" w:hAnsiTheme="minorHAnsi"/>
          <w:sz w:val="20"/>
          <w:szCs w:val="20"/>
          <w:lang w:val="en-US"/>
        </w:rPr>
        <w:t>2</w:t>
      </w:r>
      <w:r>
        <w:rPr>
          <w:rFonts w:asciiTheme="minorHAnsi" w:hAnsiTheme="minorHAnsi"/>
          <w:sz w:val="20"/>
          <w:szCs w:val="20"/>
          <w:lang w:val="en-US"/>
        </w:rPr>
        <w:t>.7</w:t>
      </w:r>
      <w:r w:rsidR="00FA335B">
        <w:rPr>
          <w:rFonts w:asciiTheme="minorHAnsi" w:hAnsiTheme="minorHAnsi"/>
          <w:sz w:val="20"/>
          <w:szCs w:val="20"/>
          <w:lang w:val="en-US"/>
        </w:rPr>
        <w:t>3</w:t>
      </w:r>
      <w:r w:rsidRPr="008374DE">
        <w:rPr>
          <w:rFonts w:asciiTheme="minorHAnsi" w:hAnsiTheme="minorHAnsi"/>
          <w:sz w:val="20"/>
          <w:szCs w:val="20"/>
          <w:lang w:val="en-US"/>
        </w:rPr>
        <w:t xml:space="preserve"> million</w:t>
      </w:r>
      <w:r>
        <w:rPr>
          <w:rFonts w:asciiTheme="minorHAnsi" w:hAnsiTheme="minorHAnsi"/>
          <w:sz w:val="20"/>
          <w:szCs w:val="20"/>
          <w:lang w:val="en-US"/>
        </w:rPr>
        <w:t xml:space="preserve">. The </w:t>
      </w:r>
      <w:r w:rsidR="00FA335B">
        <w:rPr>
          <w:rFonts w:asciiTheme="minorHAnsi" w:hAnsiTheme="minorHAnsi"/>
          <w:sz w:val="20"/>
          <w:szCs w:val="20"/>
          <w:lang w:val="en-US"/>
        </w:rPr>
        <w:t>reduction in loss</w:t>
      </w:r>
      <w:r>
        <w:rPr>
          <w:rFonts w:asciiTheme="minorHAnsi" w:hAnsiTheme="minorHAnsi"/>
          <w:sz w:val="20"/>
          <w:szCs w:val="20"/>
          <w:lang w:val="en-US"/>
        </w:rPr>
        <w:t xml:space="preserve"> before tax </w:t>
      </w:r>
      <w:r w:rsidR="00AD29E0">
        <w:rPr>
          <w:rFonts w:asciiTheme="minorHAnsi" w:hAnsiTheme="minorHAnsi"/>
          <w:sz w:val="20"/>
          <w:szCs w:val="20"/>
          <w:lang w:val="en-US"/>
        </w:rPr>
        <w:t xml:space="preserve"> </w:t>
      </w:r>
      <w:r>
        <w:rPr>
          <w:rFonts w:asciiTheme="minorHAnsi" w:hAnsiTheme="minorHAnsi"/>
          <w:sz w:val="20"/>
          <w:szCs w:val="20"/>
          <w:lang w:val="en-US"/>
        </w:rPr>
        <w:t xml:space="preserve">for the </w:t>
      </w:r>
      <w:r w:rsidR="00FA335B">
        <w:rPr>
          <w:rFonts w:asciiTheme="minorHAnsi" w:hAnsiTheme="minorHAnsi"/>
          <w:sz w:val="20"/>
          <w:szCs w:val="20"/>
          <w:lang w:val="en-US"/>
        </w:rPr>
        <w:t xml:space="preserve">current month </w:t>
      </w:r>
      <w:r>
        <w:rPr>
          <w:rFonts w:asciiTheme="minorHAnsi" w:hAnsiTheme="minorHAnsi"/>
          <w:sz w:val="20"/>
          <w:szCs w:val="20"/>
          <w:lang w:val="en-US"/>
        </w:rPr>
        <w:t xml:space="preserve">was mainly due to </w:t>
      </w:r>
      <w:r w:rsidR="00FA335B">
        <w:rPr>
          <w:rFonts w:asciiTheme="minorHAnsi" w:hAnsiTheme="minorHAnsi"/>
          <w:sz w:val="20"/>
          <w:szCs w:val="20"/>
          <w:lang w:val="en-US"/>
        </w:rPr>
        <w:t>significant increase in consultation fees for the proposed restructuring exercise</w:t>
      </w:r>
      <w:r w:rsidR="00F920EE">
        <w:rPr>
          <w:rFonts w:asciiTheme="minorHAnsi" w:hAnsiTheme="minorHAnsi"/>
          <w:sz w:val="20"/>
          <w:szCs w:val="20"/>
          <w:lang w:val="en-US"/>
        </w:rPr>
        <w:t xml:space="preserve"> and directors’ fees being paid in the preceding </w:t>
      </w:r>
      <w:r>
        <w:rPr>
          <w:rFonts w:asciiTheme="minorHAnsi" w:hAnsiTheme="minorHAnsi"/>
          <w:sz w:val="20"/>
          <w:szCs w:val="20"/>
        </w:rPr>
        <w:t>quarter.</w:t>
      </w:r>
      <w:r w:rsidRPr="002A1756">
        <w:rPr>
          <w:rFonts w:asciiTheme="minorHAnsi" w:hAnsiTheme="minorHAnsi"/>
          <w:sz w:val="20"/>
          <w:szCs w:val="20"/>
          <w:highlight w:val="yellow"/>
        </w:rPr>
        <w:t xml:space="preserve"> </w:t>
      </w:r>
    </w:p>
    <w:p w:rsidR="006E34C2" w:rsidRDefault="006E34C2">
      <w:pPr>
        <w:spacing w:after="0" w:line="240" w:lineRule="auto"/>
        <w:rPr>
          <w:rFonts w:asciiTheme="minorHAnsi" w:hAnsiTheme="minorHAnsi" w:cs="Times New Roman"/>
          <w:sz w:val="20"/>
          <w:szCs w:val="20"/>
          <w:lang w:val="en-US" w:eastAsia="en-US"/>
        </w:rPr>
      </w:pPr>
      <w:r>
        <w:rPr>
          <w:rFonts w:asciiTheme="minorHAnsi" w:hAnsiTheme="minorHAnsi"/>
          <w:sz w:val="20"/>
          <w:szCs w:val="20"/>
        </w:rPr>
        <w:br w:type="page"/>
      </w:r>
    </w:p>
    <w:p w:rsidR="00137A60" w:rsidRDefault="00137A60" w:rsidP="00137A60">
      <w:pPr>
        <w:spacing w:after="0" w:line="240" w:lineRule="auto"/>
        <w:rPr>
          <w:rFonts w:asciiTheme="minorHAnsi" w:hAnsiTheme="minorHAnsi"/>
          <w:b/>
          <w:bCs/>
          <w:sz w:val="20"/>
          <w:szCs w:val="20"/>
        </w:rPr>
      </w:pPr>
    </w:p>
    <w:p w:rsidR="00137A60" w:rsidRPr="008374DE" w:rsidRDefault="00137A60" w:rsidP="00137A60">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ON CONSOLIDATED RESULTS </w:t>
      </w:r>
    </w:p>
    <w:p w:rsidR="00137A60" w:rsidRPr="008374DE" w:rsidRDefault="00137A60" w:rsidP="00C33B1C">
      <w:pPr>
        <w:spacing w:after="0" w:line="240" w:lineRule="auto"/>
        <w:rPr>
          <w:rFonts w:asciiTheme="minorHAnsi" w:hAnsiTheme="minorHAnsi"/>
          <w:sz w:val="20"/>
          <w:szCs w:val="20"/>
        </w:rPr>
      </w:pPr>
      <w:r w:rsidRPr="008374DE">
        <w:rPr>
          <w:rFonts w:asciiTheme="minorHAnsi" w:hAnsiTheme="minorHAnsi"/>
          <w:b/>
          <w:bCs/>
          <w:sz w:val="20"/>
          <w:szCs w:val="20"/>
        </w:rPr>
        <w:t xml:space="preserve">Quarterly Report for the </w:t>
      </w:r>
      <w:r w:rsidR="002923F4">
        <w:rPr>
          <w:rFonts w:asciiTheme="minorHAnsi" w:hAnsiTheme="minorHAnsi"/>
          <w:b/>
          <w:bCs/>
          <w:sz w:val="20"/>
          <w:szCs w:val="20"/>
        </w:rPr>
        <w:t>Month</w:t>
      </w:r>
      <w:r w:rsidRPr="008374DE">
        <w:rPr>
          <w:rFonts w:asciiTheme="minorHAnsi" w:hAnsiTheme="minorHAnsi"/>
          <w:b/>
          <w:bCs/>
          <w:sz w:val="20"/>
          <w:szCs w:val="20"/>
        </w:rPr>
        <w:t xml:space="preserve"> Ended </w:t>
      </w:r>
      <w:r w:rsidR="00A94CA5">
        <w:rPr>
          <w:rFonts w:asciiTheme="minorHAnsi" w:hAnsiTheme="minorHAnsi"/>
          <w:b/>
          <w:bCs/>
          <w:sz w:val="20"/>
          <w:szCs w:val="20"/>
        </w:rPr>
        <w:t>3</w:t>
      </w:r>
      <w:r w:rsidR="002923F4">
        <w:rPr>
          <w:rFonts w:asciiTheme="minorHAnsi" w:hAnsiTheme="minorHAnsi"/>
          <w:b/>
          <w:bCs/>
          <w:sz w:val="20"/>
          <w:szCs w:val="20"/>
        </w:rPr>
        <w:t>1 July</w:t>
      </w:r>
      <w:r w:rsidR="00A94CA5">
        <w:rPr>
          <w:rFonts w:asciiTheme="minorHAnsi" w:hAnsiTheme="minorHAnsi"/>
          <w:b/>
          <w:bCs/>
          <w:sz w:val="20"/>
          <w:szCs w:val="20"/>
        </w:rPr>
        <w:t xml:space="preserve"> </w:t>
      </w:r>
      <w:r w:rsidR="00C33B1C">
        <w:rPr>
          <w:rFonts w:asciiTheme="minorHAnsi" w:hAnsiTheme="minorHAnsi"/>
          <w:b/>
          <w:bCs/>
          <w:sz w:val="20"/>
          <w:szCs w:val="20"/>
        </w:rPr>
        <w:t>2016</w:t>
      </w:r>
    </w:p>
    <w:p w:rsidR="00137A60" w:rsidRPr="008374DE" w:rsidRDefault="00137A60" w:rsidP="00137A60">
      <w:pPr>
        <w:spacing w:after="0" w:line="240" w:lineRule="auto"/>
        <w:ind w:left="720" w:hanging="720"/>
        <w:jc w:val="both"/>
        <w:rPr>
          <w:rFonts w:asciiTheme="minorHAnsi" w:hAnsiTheme="minorHAnsi" w:cs="Times New Roman"/>
          <w:b/>
          <w:bCs/>
          <w:sz w:val="20"/>
          <w:szCs w:val="20"/>
        </w:rPr>
      </w:pPr>
      <w:r w:rsidRPr="008374DE">
        <w:rPr>
          <w:rFonts w:asciiTheme="minorHAnsi" w:hAnsiTheme="minorHAnsi"/>
          <w:b/>
          <w:bCs/>
          <w:sz w:val="20"/>
          <w:szCs w:val="20"/>
        </w:rPr>
        <w:t xml:space="preserve">B: </w:t>
      </w:r>
      <w:r w:rsidRPr="008374DE">
        <w:rPr>
          <w:rFonts w:asciiTheme="minorHAnsi" w:hAnsiTheme="minorHAnsi" w:cs="Times New Roman"/>
          <w:b/>
          <w:bCs/>
          <w:sz w:val="20"/>
          <w:szCs w:val="20"/>
        </w:rPr>
        <w:tab/>
      </w:r>
      <w:r w:rsidRPr="008374DE">
        <w:rPr>
          <w:rFonts w:asciiTheme="minorHAnsi" w:hAnsiTheme="minorHAnsi"/>
          <w:b/>
          <w:bCs/>
          <w:sz w:val="20"/>
          <w:szCs w:val="20"/>
        </w:rPr>
        <w:t>EXPLANATORY NOTES PURSUANT TO APPENDIX 9B OF THE ACE MARKET LISTING REQUIREMENTS OF BURSA SECURITIES</w:t>
      </w:r>
      <w:r w:rsidR="006E0A0A">
        <w:rPr>
          <w:rFonts w:asciiTheme="minorHAnsi" w:hAnsiTheme="minorHAnsi"/>
          <w:b/>
          <w:bCs/>
          <w:sz w:val="20"/>
          <w:szCs w:val="20"/>
        </w:rPr>
        <w:t xml:space="preserve"> (CONT’D)</w:t>
      </w:r>
    </w:p>
    <w:p w:rsidR="000D2D1D" w:rsidRPr="00137A60" w:rsidRDefault="000D2D1D" w:rsidP="000D2D1D">
      <w:pPr>
        <w:pStyle w:val="ListParagraph"/>
        <w:rPr>
          <w:rFonts w:asciiTheme="minorHAnsi" w:hAnsiTheme="minorHAnsi"/>
          <w:sz w:val="20"/>
          <w:szCs w:val="20"/>
          <w:lang w:val="en-MY"/>
        </w:rPr>
      </w:pPr>
    </w:p>
    <w:p w:rsidR="000D2D1D" w:rsidRDefault="000D2D1D" w:rsidP="000D2D1D">
      <w:pPr>
        <w:spacing w:after="0" w:line="240" w:lineRule="auto"/>
        <w:rPr>
          <w:rFonts w:asciiTheme="minorHAnsi" w:hAnsiTheme="minorHAnsi" w:cs="Times New Roman"/>
          <w:b/>
          <w:bCs/>
          <w:sz w:val="20"/>
          <w:szCs w:val="20"/>
        </w:rPr>
      </w:pPr>
      <w:r>
        <w:rPr>
          <w:rFonts w:asciiTheme="minorHAnsi" w:hAnsiTheme="minorHAnsi" w:cs="Times New Roman"/>
          <w:b/>
          <w:bCs/>
          <w:sz w:val="20"/>
          <w:szCs w:val="20"/>
        </w:rPr>
        <w:t>B3. Prospects</w:t>
      </w:r>
    </w:p>
    <w:p w:rsidR="000D2D1D" w:rsidRDefault="000D2D1D" w:rsidP="000D2D1D">
      <w:pPr>
        <w:spacing w:after="0" w:line="240" w:lineRule="auto"/>
        <w:rPr>
          <w:rFonts w:asciiTheme="minorHAnsi" w:hAnsiTheme="minorHAnsi" w:cs="Times New Roman"/>
          <w:b/>
          <w:bCs/>
          <w:sz w:val="20"/>
          <w:szCs w:val="20"/>
        </w:rPr>
      </w:pPr>
    </w:p>
    <w:p w:rsidR="00AF0E32" w:rsidRPr="00AF0E32" w:rsidRDefault="00AF0E32" w:rsidP="00AF0E32">
      <w:pPr>
        <w:jc w:val="both"/>
        <w:rPr>
          <w:sz w:val="20"/>
          <w:szCs w:val="20"/>
        </w:rPr>
      </w:pPr>
      <w:r w:rsidRPr="00AF0E32">
        <w:rPr>
          <w:sz w:val="20"/>
          <w:szCs w:val="20"/>
        </w:rPr>
        <w:t>The Group will also be focusing with its regional business expansion to China market for new potential track and traceability software solutions. In this respect, the recent tie-up with the Nan Fang Ping Tai or Southern China Logistics Information Platform, a Guangdong government sponsored single window initiative, augurs well for the Group as we are well positioned to take advantage of any new online businesses including exports from China using e-Commerce with track and trace capabilities as well as imports into China including Malaysian made Halal food products.</w:t>
      </w:r>
    </w:p>
    <w:p w:rsidR="00AF0E32" w:rsidRPr="00AF0E32" w:rsidRDefault="00AF0E32" w:rsidP="00AF0E32">
      <w:pPr>
        <w:jc w:val="both"/>
        <w:rPr>
          <w:sz w:val="20"/>
          <w:szCs w:val="20"/>
        </w:rPr>
      </w:pPr>
      <w:r w:rsidRPr="00AF0E32">
        <w:rPr>
          <w:sz w:val="20"/>
          <w:szCs w:val="20"/>
        </w:rPr>
        <w:t>In view of the uncertain domestic economic conditions, the Group is anticipating a challenging year in 2016/2017 and will continue its efforts to diversify</w:t>
      </w:r>
      <w:r w:rsidR="00AB54EA">
        <w:rPr>
          <w:sz w:val="20"/>
          <w:szCs w:val="20"/>
        </w:rPr>
        <w:t xml:space="preserve"> both </w:t>
      </w:r>
      <w:r w:rsidR="00C04237">
        <w:rPr>
          <w:sz w:val="20"/>
          <w:szCs w:val="20"/>
        </w:rPr>
        <w:t>locally and regionally in order to</w:t>
      </w:r>
      <w:r w:rsidRPr="00AF0E32">
        <w:rPr>
          <w:sz w:val="20"/>
          <w:szCs w:val="20"/>
        </w:rPr>
        <w:t xml:space="preserve"> consolidate its revenue streams.</w:t>
      </w:r>
    </w:p>
    <w:p w:rsidR="00062A61" w:rsidRDefault="00062A61" w:rsidP="000D2D1D">
      <w:pPr>
        <w:spacing w:after="0" w:line="240" w:lineRule="auto"/>
        <w:rPr>
          <w:rFonts w:asciiTheme="minorHAnsi" w:hAnsiTheme="minorHAnsi" w:cs="Times New Roman"/>
          <w:b/>
          <w:bCs/>
          <w:sz w:val="20"/>
          <w:szCs w:val="20"/>
        </w:rPr>
      </w:pPr>
    </w:p>
    <w:p w:rsidR="00062A61" w:rsidRPr="008374DE" w:rsidRDefault="00062A61" w:rsidP="00062A61">
      <w:pPr>
        <w:spacing w:after="0" w:line="240" w:lineRule="auto"/>
        <w:rPr>
          <w:rFonts w:asciiTheme="minorHAnsi" w:hAnsiTheme="minorHAnsi"/>
          <w:b/>
          <w:bCs/>
          <w:sz w:val="20"/>
          <w:szCs w:val="20"/>
        </w:rPr>
      </w:pPr>
      <w:r w:rsidRPr="008374DE">
        <w:rPr>
          <w:rFonts w:asciiTheme="minorHAnsi" w:hAnsiTheme="minorHAnsi"/>
          <w:b/>
          <w:bCs/>
          <w:sz w:val="20"/>
          <w:szCs w:val="20"/>
        </w:rPr>
        <w:t>B4. Profit forecast and profit guarantee</w:t>
      </w:r>
    </w:p>
    <w:p w:rsidR="00062A61" w:rsidRPr="008374DE" w:rsidRDefault="00062A61" w:rsidP="00062A61">
      <w:pPr>
        <w:spacing w:after="0" w:line="240" w:lineRule="auto"/>
        <w:rPr>
          <w:rFonts w:asciiTheme="minorHAnsi" w:hAnsiTheme="minorHAnsi"/>
          <w:b/>
          <w:bCs/>
          <w:sz w:val="20"/>
          <w:szCs w:val="20"/>
        </w:rPr>
      </w:pPr>
    </w:p>
    <w:p w:rsidR="00062A61" w:rsidRPr="008374DE" w:rsidRDefault="00062A61" w:rsidP="00062A61">
      <w:pPr>
        <w:spacing w:after="0" w:line="240" w:lineRule="auto"/>
        <w:jc w:val="both"/>
        <w:rPr>
          <w:rFonts w:asciiTheme="minorHAnsi" w:hAnsiTheme="minorHAnsi" w:cs="Times New Roman"/>
          <w:sz w:val="20"/>
          <w:szCs w:val="20"/>
        </w:rPr>
      </w:pPr>
      <w:r w:rsidRPr="008374DE">
        <w:rPr>
          <w:rFonts w:asciiTheme="minorHAnsi" w:hAnsiTheme="minorHAnsi"/>
          <w:sz w:val="20"/>
          <w:szCs w:val="20"/>
        </w:rPr>
        <w:t>The Group has not issued any profit forecast or profit guarantee for the current financial quarter under review or in any public documents.</w:t>
      </w:r>
    </w:p>
    <w:p w:rsidR="00062A61" w:rsidRDefault="00062A61" w:rsidP="00062A61">
      <w:pPr>
        <w:spacing w:after="0" w:line="240" w:lineRule="auto"/>
        <w:jc w:val="both"/>
        <w:rPr>
          <w:rFonts w:asciiTheme="minorHAnsi" w:hAnsiTheme="minorHAnsi" w:cs="Times New Roman"/>
          <w:sz w:val="20"/>
          <w:szCs w:val="20"/>
        </w:rPr>
      </w:pPr>
    </w:p>
    <w:p w:rsidR="00062A61" w:rsidRPr="008374DE" w:rsidRDefault="00062A61" w:rsidP="00062A61">
      <w:pPr>
        <w:spacing w:after="0" w:line="240" w:lineRule="auto"/>
        <w:jc w:val="both"/>
        <w:rPr>
          <w:rFonts w:asciiTheme="minorHAnsi" w:hAnsiTheme="minorHAnsi" w:cs="Times New Roman"/>
          <w:sz w:val="20"/>
          <w:szCs w:val="20"/>
        </w:rPr>
      </w:pPr>
    </w:p>
    <w:p w:rsidR="00062A61" w:rsidRPr="008374DE" w:rsidRDefault="00062A61" w:rsidP="00062A61">
      <w:pPr>
        <w:spacing w:after="0" w:line="240" w:lineRule="auto"/>
        <w:rPr>
          <w:rFonts w:asciiTheme="minorHAnsi" w:hAnsiTheme="minorHAnsi" w:cs="Times New Roman"/>
          <w:b/>
          <w:bCs/>
          <w:sz w:val="20"/>
          <w:szCs w:val="20"/>
        </w:rPr>
      </w:pPr>
      <w:r w:rsidRPr="008374DE">
        <w:rPr>
          <w:rFonts w:asciiTheme="minorHAnsi" w:hAnsiTheme="minorHAnsi"/>
          <w:b/>
          <w:bCs/>
          <w:sz w:val="20"/>
          <w:szCs w:val="20"/>
        </w:rPr>
        <w:t>B5. Taxation</w:t>
      </w:r>
    </w:p>
    <w:p w:rsidR="00062A61" w:rsidRPr="008374DE" w:rsidRDefault="00062A61" w:rsidP="00062A61">
      <w:pPr>
        <w:spacing w:after="0" w:line="240" w:lineRule="auto"/>
        <w:rPr>
          <w:rFonts w:asciiTheme="minorHAnsi" w:hAnsiTheme="minorHAnsi" w:cs="Times New Roman"/>
          <w:b/>
          <w:bCs/>
          <w:sz w:val="20"/>
          <w:szCs w:val="20"/>
        </w:rPr>
      </w:pPr>
    </w:p>
    <w:tbl>
      <w:tblPr>
        <w:tblW w:w="10169" w:type="dxa"/>
        <w:tblInd w:w="108" w:type="dxa"/>
        <w:tblLook w:val="00A0" w:firstRow="1" w:lastRow="0" w:firstColumn="1" w:lastColumn="0" w:noHBand="0" w:noVBand="0"/>
      </w:tblPr>
      <w:tblGrid>
        <w:gridCol w:w="5234"/>
        <w:gridCol w:w="2181"/>
        <w:gridCol w:w="2754"/>
      </w:tblGrid>
      <w:tr w:rsidR="00062A61" w:rsidRPr="008374DE" w:rsidTr="00A82484">
        <w:trPr>
          <w:trHeight w:val="300"/>
        </w:trPr>
        <w:tc>
          <w:tcPr>
            <w:tcW w:w="5234" w:type="dxa"/>
            <w:noWrap/>
          </w:tcPr>
          <w:p w:rsidR="00062A61" w:rsidRPr="008374DE" w:rsidRDefault="00062A61" w:rsidP="00EF6CFB">
            <w:pPr>
              <w:spacing w:after="0" w:line="240" w:lineRule="auto"/>
              <w:rPr>
                <w:rFonts w:asciiTheme="minorHAnsi" w:eastAsia="Times New Roman" w:hAnsiTheme="minorHAnsi" w:cs="Times New Roman"/>
                <w:b/>
                <w:bCs/>
                <w:color w:val="000000"/>
                <w:sz w:val="20"/>
                <w:szCs w:val="20"/>
                <w:lang w:val="en-US" w:eastAsia="en-US"/>
              </w:rPr>
            </w:pPr>
          </w:p>
        </w:tc>
        <w:tc>
          <w:tcPr>
            <w:tcW w:w="2181" w:type="dxa"/>
            <w:noWrap/>
          </w:tcPr>
          <w:p w:rsidR="00062A61" w:rsidRPr="008374DE" w:rsidRDefault="00062A61" w:rsidP="00EF6CFB">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val="en-US" w:eastAsia="en-US"/>
              </w:rPr>
              <w:t>Current Quarter Ended</w:t>
            </w:r>
          </w:p>
        </w:tc>
        <w:tc>
          <w:tcPr>
            <w:tcW w:w="2754" w:type="dxa"/>
            <w:noWrap/>
          </w:tcPr>
          <w:p w:rsidR="00062A61" w:rsidRDefault="00761790" w:rsidP="00EF6CFB">
            <w:pPr>
              <w:spacing w:after="0" w:line="240" w:lineRule="auto"/>
              <w:jc w:val="right"/>
              <w:rPr>
                <w:rFonts w:asciiTheme="minorHAnsi" w:eastAsia="Times New Roman" w:hAnsiTheme="minorHAnsi" w:cs="Times New Roman"/>
                <w:b/>
                <w:bCs/>
                <w:color w:val="000000"/>
                <w:sz w:val="20"/>
                <w:szCs w:val="20"/>
                <w:lang w:val="en-US" w:eastAsia="en-US"/>
              </w:rPr>
            </w:pPr>
            <w:r>
              <w:rPr>
                <w:rFonts w:asciiTheme="minorHAnsi" w:eastAsia="Times New Roman" w:hAnsiTheme="minorHAnsi" w:cs="Times New Roman"/>
                <w:b/>
                <w:bCs/>
                <w:color w:val="000000"/>
                <w:sz w:val="20"/>
                <w:szCs w:val="20"/>
                <w:lang w:val="en-US" w:eastAsia="en-US"/>
              </w:rPr>
              <w:t>1</w:t>
            </w:r>
            <w:r w:rsidR="00F920EE">
              <w:rPr>
                <w:rFonts w:asciiTheme="minorHAnsi" w:eastAsia="Times New Roman" w:hAnsiTheme="minorHAnsi" w:cs="Times New Roman"/>
                <w:b/>
                <w:bCs/>
                <w:color w:val="000000"/>
                <w:sz w:val="20"/>
                <w:szCs w:val="20"/>
                <w:lang w:val="en-US" w:eastAsia="en-US"/>
              </w:rPr>
              <w:t>6</w:t>
            </w:r>
            <w:r w:rsidR="00062A61">
              <w:rPr>
                <w:rFonts w:asciiTheme="minorHAnsi" w:eastAsia="Times New Roman" w:hAnsiTheme="minorHAnsi" w:cs="Times New Roman"/>
                <w:b/>
                <w:bCs/>
                <w:color w:val="000000"/>
                <w:sz w:val="20"/>
                <w:szCs w:val="20"/>
                <w:lang w:val="en-US" w:eastAsia="en-US"/>
              </w:rPr>
              <w:t xml:space="preserve"> Months</w:t>
            </w:r>
          </w:p>
          <w:p w:rsidR="00062A61" w:rsidRPr="008374DE" w:rsidRDefault="00062A61" w:rsidP="00EF6CFB">
            <w:pPr>
              <w:spacing w:after="0" w:line="240" w:lineRule="auto"/>
              <w:jc w:val="right"/>
              <w:rPr>
                <w:rFonts w:asciiTheme="minorHAnsi" w:eastAsia="Times New Roman" w:hAnsiTheme="minorHAnsi" w:cs="Times New Roman"/>
                <w:b/>
                <w:bCs/>
                <w:color w:val="000000"/>
                <w:sz w:val="20"/>
                <w:szCs w:val="20"/>
                <w:lang w:val="en-US" w:eastAsia="en-US"/>
              </w:rPr>
            </w:pPr>
            <w:r>
              <w:rPr>
                <w:rFonts w:asciiTheme="minorHAnsi" w:eastAsia="Times New Roman" w:hAnsiTheme="minorHAnsi" w:cs="Times New Roman"/>
                <w:b/>
                <w:bCs/>
                <w:color w:val="000000"/>
                <w:sz w:val="20"/>
                <w:szCs w:val="20"/>
                <w:lang w:val="en-US" w:eastAsia="en-US"/>
              </w:rPr>
              <w:t>Period E</w:t>
            </w:r>
            <w:r w:rsidRPr="008374DE">
              <w:rPr>
                <w:rFonts w:asciiTheme="minorHAnsi" w:eastAsia="Times New Roman" w:hAnsiTheme="minorHAnsi" w:cs="Times New Roman"/>
                <w:b/>
                <w:bCs/>
                <w:color w:val="000000"/>
                <w:sz w:val="20"/>
                <w:szCs w:val="20"/>
                <w:lang w:val="en-US" w:eastAsia="en-US"/>
              </w:rPr>
              <w:t>nded</w:t>
            </w:r>
          </w:p>
        </w:tc>
      </w:tr>
      <w:tr w:rsidR="00062A61" w:rsidRPr="008374DE" w:rsidTr="00A82484">
        <w:trPr>
          <w:trHeight w:val="300"/>
        </w:trPr>
        <w:tc>
          <w:tcPr>
            <w:tcW w:w="5234" w:type="dxa"/>
            <w:noWrap/>
          </w:tcPr>
          <w:p w:rsidR="00062A61" w:rsidRPr="008374DE" w:rsidRDefault="00062A61" w:rsidP="00EF6CFB">
            <w:pPr>
              <w:spacing w:after="0" w:line="240" w:lineRule="auto"/>
              <w:rPr>
                <w:rFonts w:asciiTheme="minorHAnsi" w:eastAsia="Times New Roman" w:hAnsiTheme="minorHAnsi" w:cs="Times New Roman"/>
                <w:b/>
                <w:bCs/>
                <w:color w:val="000000"/>
                <w:sz w:val="20"/>
                <w:szCs w:val="20"/>
                <w:lang w:val="en-US" w:eastAsia="en-US"/>
              </w:rPr>
            </w:pPr>
          </w:p>
        </w:tc>
        <w:tc>
          <w:tcPr>
            <w:tcW w:w="2181" w:type="dxa"/>
            <w:noWrap/>
          </w:tcPr>
          <w:p w:rsidR="00062A61" w:rsidRPr="008374DE" w:rsidRDefault="002505E4" w:rsidP="00F920EE">
            <w:pPr>
              <w:spacing w:after="0" w:line="240" w:lineRule="auto"/>
              <w:jc w:val="right"/>
              <w:rPr>
                <w:rFonts w:asciiTheme="minorHAnsi" w:eastAsia="Times New Roman" w:hAnsiTheme="minorHAnsi" w:cs="Times New Roman"/>
                <w:b/>
                <w:bCs/>
                <w:color w:val="000000"/>
                <w:sz w:val="20"/>
                <w:szCs w:val="20"/>
                <w:lang w:val="en-US" w:eastAsia="en-US"/>
              </w:rPr>
            </w:pPr>
            <w:r>
              <w:rPr>
                <w:rFonts w:asciiTheme="minorHAnsi" w:eastAsia="Times New Roman" w:hAnsiTheme="minorHAnsi" w:cs="Times New Roman"/>
                <w:b/>
                <w:bCs/>
                <w:color w:val="000000"/>
                <w:sz w:val="20"/>
                <w:szCs w:val="20"/>
                <w:lang w:eastAsia="en-US"/>
              </w:rPr>
              <w:t>3</w:t>
            </w:r>
            <w:r w:rsidR="00F920EE">
              <w:rPr>
                <w:rFonts w:asciiTheme="minorHAnsi" w:eastAsia="Times New Roman" w:hAnsiTheme="minorHAnsi" w:cs="Times New Roman"/>
                <w:b/>
                <w:bCs/>
                <w:color w:val="000000"/>
                <w:sz w:val="20"/>
                <w:szCs w:val="20"/>
                <w:lang w:eastAsia="en-US"/>
              </w:rPr>
              <w:t>1 July</w:t>
            </w:r>
            <w:r w:rsidR="001E6FD5">
              <w:rPr>
                <w:rFonts w:asciiTheme="minorHAnsi" w:eastAsia="Times New Roman" w:hAnsiTheme="minorHAnsi" w:cs="Times New Roman"/>
                <w:b/>
                <w:bCs/>
                <w:color w:val="000000"/>
                <w:sz w:val="20"/>
                <w:szCs w:val="20"/>
                <w:lang w:eastAsia="en-US"/>
              </w:rPr>
              <w:t xml:space="preserve"> 201</w:t>
            </w:r>
            <w:r w:rsidR="00761790">
              <w:rPr>
                <w:rFonts w:asciiTheme="minorHAnsi" w:eastAsia="Times New Roman" w:hAnsiTheme="minorHAnsi" w:cs="Times New Roman"/>
                <w:b/>
                <w:bCs/>
                <w:color w:val="000000"/>
                <w:sz w:val="20"/>
                <w:szCs w:val="20"/>
                <w:lang w:eastAsia="en-US"/>
              </w:rPr>
              <w:t>6</w:t>
            </w:r>
          </w:p>
        </w:tc>
        <w:tc>
          <w:tcPr>
            <w:tcW w:w="2754" w:type="dxa"/>
            <w:noWrap/>
          </w:tcPr>
          <w:p w:rsidR="00062A61" w:rsidRPr="008374DE" w:rsidRDefault="002505E4" w:rsidP="00F920EE">
            <w:pPr>
              <w:spacing w:after="0" w:line="240" w:lineRule="auto"/>
              <w:jc w:val="right"/>
              <w:rPr>
                <w:rFonts w:asciiTheme="minorHAnsi" w:eastAsia="Times New Roman" w:hAnsiTheme="minorHAnsi" w:cs="Times New Roman"/>
                <w:b/>
                <w:bCs/>
                <w:color w:val="000000"/>
                <w:sz w:val="20"/>
                <w:szCs w:val="20"/>
                <w:lang w:val="en-US" w:eastAsia="en-US"/>
              </w:rPr>
            </w:pPr>
            <w:r>
              <w:rPr>
                <w:rFonts w:asciiTheme="minorHAnsi" w:eastAsia="Times New Roman" w:hAnsiTheme="minorHAnsi" w:cs="Times New Roman"/>
                <w:b/>
                <w:bCs/>
                <w:color w:val="000000"/>
                <w:sz w:val="20"/>
                <w:szCs w:val="20"/>
                <w:lang w:eastAsia="en-US"/>
              </w:rPr>
              <w:t>3</w:t>
            </w:r>
            <w:r w:rsidR="00F920EE">
              <w:rPr>
                <w:rFonts w:asciiTheme="minorHAnsi" w:eastAsia="Times New Roman" w:hAnsiTheme="minorHAnsi" w:cs="Times New Roman"/>
                <w:b/>
                <w:bCs/>
                <w:color w:val="000000"/>
                <w:sz w:val="20"/>
                <w:szCs w:val="20"/>
                <w:lang w:eastAsia="en-US"/>
              </w:rPr>
              <w:t>1 July</w:t>
            </w:r>
            <w:r>
              <w:rPr>
                <w:rFonts w:asciiTheme="minorHAnsi" w:eastAsia="Times New Roman" w:hAnsiTheme="minorHAnsi" w:cs="Times New Roman"/>
                <w:b/>
                <w:bCs/>
                <w:color w:val="000000"/>
                <w:sz w:val="20"/>
                <w:szCs w:val="20"/>
                <w:lang w:eastAsia="en-US"/>
              </w:rPr>
              <w:t xml:space="preserve"> 2016</w:t>
            </w:r>
          </w:p>
        </w:tc>
      </w:tr>
      <w:tr w:rsidR="00062A61" w:rsidRPr="008374DE" w:rsidTr="00A82484">
        <w:trPr>
          <w:trHeight w:val="315"/>
        </w:trPr>
        <w:tc>
          <w:tcPr>
            <w:tcW w:w="5234" w:type="dxa"/>
            <w:noWrap/>
          </w:tcPr>
          <w:p w:rsidR="00062A61" w:rsidRPr="008374DE" w:rsidRDefault="00062A61" w:rsidP="00EF6CFB">
            <w:pPr>
              <w:spacing w:after="0" w:line="240" w:lineRule="auto"/>
              <w:rPr>
                <w:rFonts w:asciiTheme="minorHAnsi" w:eastAsia="Times New Roman" w:hAnsiTheme="minorHAnsi" w:cs="Times New Roman"/>
                <w:b/>
                <w:bCs/>
                <w:color w:val="000000"/>
                <w:sz w:val="20"/>
                <w:szCs w:val="20"/>
                <w:lang w:val="en-US" w:eastAsia="en-US"/>
              </w:rPr>
            </w:pPr>
          </w:p>
        </w:tc>
        <w:tc>
          <w:tcPr>
            <w:tcW w:w="2181" w:type="dxa"/>
            <w:noWrap/>
          </w:tcPr>
          <w:p w:rsidR="00062A61" w:rsidRPr="008374DE" w:rsidRDefault="00062A61" w:rsidP="00EF6CFB">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eastAsia="en-US"/>
              </w:rPr>
              <w:t>RM'000</w:t>
            </w:r>
          </w:p>
        </w:tc>
        <w:tc>
          <w:tcPr>
            <w:tcW w:w="2754" w:type="dxa"/>
            <w:noWrap/>
          </w:tcPr>
          <w:p w:rsidR="00062A61" w:rsidRPr="008374DE" w:rsidRDefault="00062A61" w:rsidP="00EF6CFB">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eastAsia="en-US"/>
              </w:rPr>
              <w:t>RM'000</w:t>
            </w:r>
          </w:p>
        </w:tc>
      </w:tr>
      <w:tr w:rsidR="00062A61" w:rsidRPr="008374DE" w:rsidTr="00A82484">
        <w:trPr>
          <w:trHeight w:val="315"/>
        </w:trPr>
        <w:tc>
          <w:tcPr>
            <w:tcW w:w="5234" w:type="dxa"/>
            <w:noWrap/>
          </w:tcPr>
          <w:p w:rsidR="00062A61" w:rsidRPr="008374DE" w:rsidRDefault="00062A61" w:rsidP="00EF6CFB">
            <w:pPr>
              <w:spacing w:after="0" w:line="240" w:lineRule="auto"/>
              <w:rPr>
                <w:rFonts w:asciiTheme="minorHAnsi" w:eastAsia="Times New Roman" w:hAnsiTheme="minorHAnsi" w:cs="Times New Roman"/>
                <w:color w:val="000000"/>
                <w:sz w:val="20"/>
                <w:szCs w:val="20"/>
                <w:lang w:val="en-US" w:eastAsia="en-US"/>
              </w:rPr>
            </w:pPr>
            <w:r w:rsidRPr="008374DE">
              <w:rPr>
                <w:rFonts w:asciiTheme="minorHAnsi" w:eastAsia="Times New Roman" w:hAnsiTheme="minorHAnsi" w:cs="Times New Roman"/>
                <w:color w:val="000000"/>
                <w:sz w:val="20"/>
                <w:szCs w:val="20"/>
                <w:lang w:val="en-US" w:eastAsia="en-US"/>
              </w:rPr>
              <w:t>Current tax expense</w:t>
            </w:r>
          </w:p>
        </w:tc>
        <w:tc>
          <w:tcPr>
            <w:tcW w:w="2181" w:type="dxa"/>
            <w:noWrap/>
          </w:tcPr>
          <w:p w:rsidR="00062A61" w:rsidRPr="008374DE" w:rsidRDefault="00062A61" w:rsidP="00EF6CFB">
            <w:pPr>
              <w:spacing w:after="0" w:line="240" w:lineRule="auto"/>
              <w:jc w:val="right"/>
              <w:rPr>
                <w:rFonts w:asciiTheme="minorHAnsi" w:eastAsia="Times New Roman" w:hAnsiTheme="minorHAnsi" w:cs="Times New Roman"/>
                <w:color w:val="000000"/>
                <w:sz w:val="20"/>
                <w:szCs w:val="20"/>
                <w:lang w:val="en-US" w:eastAsia="en-US"/>
              </w:rPr>
            </w:pPr>
            <w:r>
              <w:rPr>
                <w:rFonts w:asciiTheme="minorHAnsi" w:eastAsia="Times New Roman" w:hAnsiTheme="minorHAnsi" w:cs="Times New Roman"/>
                <w:color w:val="000000"/>
                <w:sz w:val="20"/>
                <w:szCs w:val="20"/>
                <w:lang w:val="en-US" w:eastAsia="en-US"/>
              </w:rPr>
              <w:t>-</w:t>
            </w:r>
          </w:p>
        </w:tc>
        <w:tc>
          <w:tcPr>
            <w:tcW w:w="2754" w:type="dxa"/>
            <w:noWrap/>
          </w:tcPr>
          <w:p w:rsidR="00062A61" w:rsidRPr="008374DE" w:rsidRDefault="00062A61" w:rsidP="00EF6CFB">
            <w:pPr>
              <w:spacing w:after="0" w:line="240" w:lineRule="auto"/>
              <w:jc w:val="right"/>
              <w:rPr>
                <w:rFonts w:asciiTheme="minorHAnsi" w:eastAsia="Times New Roman" w:hAnsiTheme="minorHAnsi" w:cs="Times New Roman"/>
                <w:color w:val="000000"/>
                <w:sz w:val="20"/>
                <w:szCs w:val="20"/>
                <w:lang w:val="en-US" w:eastAsia="en-US"/>
              </w:rPr>
            </w:pPr>
            <w:r>
              <w:rPr>
                <w:rFonts w:asciiTheme="minorHAnsi" w:eastAsia="Times New Roman" w:hAnsiTheme="minorHAnsi" w:cs="Times New Roman"/>
                <w:color w:val="000000"/>
                <w:sz w:val="20"/>
                <w:szCs w:val="20"/>
                <w:lang w:val="en-US" w:eastAsia="en-US"/>
              </w:rPr>
              <w:t>-</w:t>
            </w:r>
          </w:p>
        </w:tc>
      </w:tr>
    </w:tbl>
    <w:p w:rsidR="00062A61" w:rsidRPr="008374DE" w:rsidRDefault="00062A61" w:rsidP="00062A61">
      <w:pPr>
        <w:spacing w:after="0" w:line="240" w:lineRule="auto"/>
        <w:rPr>
          <w:rFonts w:asciiTheme="minorHAnsi" w:hAnsiTheme="minorHAnsi" w:cs="Times New Roman"/>
          <w:b/>
          <w:bCs/>
          <w:sz w:val="20"/>
          <w:szCs w:val="20"/>
        </w:rPr>
      </w:pPr>
    </w:p>
    <w:p w:rsidR="00062A61" w:rsidRPr="00635218" w:rsidRDefault="00062A61" w:rsidP="00062A61">
      <w:pPr>
        <w:spacing w:after="0" w:line="240" w:lineRule="auto"/>
        <w:jc w:val="both"/>
        <w:rPr>
          <w:rFonts w:asciiTheme="minorHAnsi" w:hAnsiTheme="minorHAnsi"/>
          <w:sz w:val="20"/>
          <w:szCs w:val="20"/>
        </w:rPr>
      </w:pPr>
      <w:r w:rsidRPr="00635218">
        <w:rPr>
          <w:sz w:val="20"/>
          <w:szCs w:val="20"/>
        </w:rPr>
        <w:t xml:space="preserve">There is no tax expense for the current quarter and current year to date </w:t>
      </w:r>
      <w:r w:rsidR="0091545C">
        <w:rPr>
          <w:sz w:val="20"/>
          <w:szCs w:val="20"/>
        </w:rPr>
        <w:t>as</w:t>
      </w:r>
      <w:r w:rsidRPr="00635218">
        <w:rPr>
          <w:sz w:val="20"/>
          <w:szCs w:val="20"/>
        </w:rPr>
        <w:t xml:space="preserve"> majority of </w:t>
      </w:r>
      <w:r w:rsidR="001252F9">
        <w:rPr>
          <w:sz w:val="20"/>
          <w:szCs w:val="20"/>
        </w:rPr>
        <w:t xml:space="preserve">the Company’s </w:t>
      </w:r>
      <w:r w:rsidRPr="00635218">
        <w:rPr>
          <w:sz w:val="20"/>
          <w:szCs w:val="20"/>
        </w:rPr>
        <w:t>business income are exempted under Pioneer Status, and</w:t>
      </w:r>
      <w:r w:rsidR="000E1A50">
        <w:rPr>
          <w:sz w:val="20"/>
          <w:szCs w:val="20"/>
        </w:rPr>
        <w:t xml:space="preserve"> further</w:t>
      </w:r>
      <w:r w:rsidRPr="00635218">
        <w:rPr>
          <w:sz w:val="20"/>
          <w:szCs w:val="20"/>
        </w:rPr>
        <w:t xml:space="preserve"> there is no taxable profit for the financial period. </w:t>
      </w:r>
      <w:r w:rsidRPr="00635218">
        <w:rPr>
          <w:rFonts w:asciiTheme="minorHAnsi" w:hAnsiTheme="minorHAnsi"/>
          <w:sz w:val="20"/>
          <w:szCs w:val="20"/>
        </w:rPr>
        <w:t xml:space="preserve">The </w:t>
      </w:r>
      <w:r w:rsidR="001252F9">
        <w:rPr>
          <w:rFonts w:asciiTheme="minorHAnsi" w:hAnsiTheme="minorHAnsi"/>
          <w:sz w:val="20"/>
          <w:szCs w:val="20"/>
        </w:rPr>
        <w:t>C</w:t>
      </w:r>
      <w:r w:rsidRPr="00635218">
        <w:rPr>
          <w:rFonts w:asciiTheme="minorHAnsi" w:hAnsiTheme="minorHAnsi"/>
          <w:sz w:val="20"/>
          <w:szCs w:val="20"/>
        </w:rPr>
        <w:t>ompany was accorded the MSC (Multimedia Super Corridor) status and granted Pioneer Status on 11 July 2007 which exempts 100% of its eligible statutory business income for a period of five (5) years, which has been extended for a further period of five (5) years</w:t>
      </w:r>
      <w:r w:rsidR="00EF6CFB">
        <w:rPr>
          <w:rFonts w:asciiTheme="minorHAnsi" w:hAnsiTheme="minorHAnsi"/>
          <w:sz w:val="20"/>
          <w:szCs w:val="20"/>
        </w:rPr>
        <w:t xml:space="preserve"> till </w:t>
      </w:r>
      <w:r w:rsidR="00EF6CFB" w:rsidRPr="00635218">
        <w:rPr>
          <w:rFonts w:asciiTheme="minorHAnsi" w:hAnsiTheme="minorHAnsi"/>
          <w:sz w:val="20"/>
          <w:szCs w:val="20"/>
        </w:rPr>
        <w:t>11 July 20</w:t>
      </w:r>
      <w:r w:rsidR="00EF6CFB">
        <w:rPr>
          <w:rFonts w:asciiTheme="minorHAnsi" w:hAnsiTheme="minorHAnsi"/>
          <w:sz w:val="20"/>
          <w:szCs w:val="20"/>
        </w:rPr>
        <w:t>1</w:t>
      </w:r>
      <w:r w:rsidR="00EF6CFB" w:rsidRPr="00635218">
        <w:rPr>
          <w:rFonts w:asciiTheme="minorHAnsi" w:hAnsiTheme="minorHAnsi"/>
          <w:sz w:val="20"/>
          <w:szCs w:val="20"/>
        </w:rPr>
        <w:t>7</w:t>
      </w:r>
      <w:r w:rsidRPr="00635218">
        <w:rPr>
          <w:rFonts w:asciiTheme="minorHAnsi" w:hAnsiTheme="minorHAnsi"/>
          <w:sz w:val="20"/>
          <w:szCs w:val="20"/>
        </w:rPr>
        <w:t xml:space="preserve">. </w:t>
      </w:r>
    </w:p>
    <w:p w:rsidR="006E34C2" w:rsidRPr="00062A61" w:rsidRDefault="006E34C2" w:rsidP="000D2D1D">
      <w:pPr>
        <w:jc w:val="both"/>
        <w:rPr>
          <w:rFonts w:asciiTheme="minorHAnsi" w:hAnsiTheme="minorHAnsi"/>
          <w:sz w:val="20"/>
          <w:szCs w:val="20"/>
        </w:rPr>
      </w:pPr>
    </w:p>
    <w:p w:rsidR="00062A61" w:rsidRPr="008374DE" w:rsidRDefault="00062A61" w:rsidP="00062A61">
      <w:pPr>
        <w:spacing w:after="0" w:line="240" w:lineRule="auto"/>
        <w:jc w:val="both"/>
        <w:rPr>
          <w:rFonts w:asciiTheme="minorHAnsi" w:hAnsiTheme="minorHAnsi" w:cs="Times New Roman"/>
          <w:b/>
          <w:bCs/>
          <w:sz w:val="20"/>
          <w:szCs w:val="20"/>
        </w:rPr>
      </w:pPr>
      <w:r w:rsidRPr="008374DE">
        <w:rPr>
          <w:rFonts w:asciiTheme="minorHAnsi" w:hAnsiTheme="minorHAnsi" w:cs="Times New Roman"/>
          <w:b/>
          <w:bCs/>
          <w:sz w:val="20"/>
          <w:szCs w:val="20"/>
        </w:rPr>
        <w:t>B6. Status of Corporate Proposal</w:t>
      </w:r>
    </w:p>
    <w:p w:rsidR="00062A61" w:rsidRDefault="00062A61" w:rsidP="00062A61">
      <w:pPr>
        <w:spacing w:after="0" w:line="240" w:lineRule="auto"/>
        <w:rPr>
          <w:rFonts w:asciiTheme="minorHAnsi" w:hAnsiTheme="minorHAnsi"/>
          <w:bCs/>
          <w:sz w:val="20"/>
          <w:szCs w:val="20"/>
        </w:rPr>
      </w:pPr>
    </w:p>
    <w:p w:rsidR="00062A61" w:rsidRPr="0099510A" w:rsidRDefault="003F57A6" w:rsidP="00062A61">
      <w:pPr>
        <w:pStyle w:val="ListParagraph"/>
        <w:numPr>
          <w:ilvl w:val="0"/>
          <w:numId w:val="31"/>
        </w:numPr>
        <w:ind w:left="709"/>
        <w:jc w:val="both"/>
        <w:rPr>
          <w:rFonts w:asciiTheme="minorHAnsi" w:hAnsiTheme="minorHAnsi"/>
          <w:sz w:val="20"/>
          <w:szCs w:val="20"/>
        </w:rPr>
      </w:pPr>
      <w:r>
        <w:rPr>
          <w:rFonts w:asciiTheme="minorHAnsi" w:hAnsiTheme="minorHAnsi"/>
          <w:sz w:val="20"/>
          <w:szCs w:val="20"/>
        </w:rPr>
        <w:t xml:space="preserve">On 21 May 2015, </w:t>
      </w:r>
      <w:r w:rsidR="00062A61" w:rsidRPr="00F12709">
        <w:rPr>
          <w:rFonts w:asciiTheme="minorHAnsi" w:hAnsiTheme="minorHAnsi"/>
          <w:sz w:val="20"/>
          <w:szCs w:val="20"/>
        </w:rPr>
        <w:t>the Board of Directors announced to Bursa Malaysia that the Company entered into a Share Sale Agreement with One Trooper Systems Sdn</w:t>
      </w:r>
      <w:r w:rsidR="005645F3">
        <w:rPr>
          <w:rFonts w:asciiTheme="minorHAnsi" w:hAnsiTheme="minorHAnsi"/>
          <w:sz w:val="20"/>
          <w:szCs w:val="20"/>
        </w:rPr>
        <w:t xml:space="preserve"> </w:t>
      </w:r>
      <w:r w:rsidR="00062A61" w:rsidRPr="00F12709">
        <w:rPr>
          <w:rFonts w:asciiTheme="minorHAnsi" w:hAnsiTheme="minorHAnsi"/>
          <w:sz w:val="20"/>
          <w:szCs w:val="20"/>
        </w:rPr>
        <w:t>Bhd</w:t>
      </w:r>
      <w:r w:rsidR="0003708B">
        <w:rPr>
          <w:rFonts w:asciiTheme="minorHAnsi" w:hAnsiTheme="minorHAnsi"/>
          <w:sz w:val="20"/>
          <w:szCs w:val="20"/>
        </w:rPr>
        <w:t xml:space="preserve"> (“One Trooper”)</w:t>
      </w:r>
      <w:r w:rsidR="00062A61" w:rsidRPr="00F12709">
        <w:rPr>
          <w:rFonts w:asciiTheme="minorHAnsi" w:hAnsiTheme="minorHAnsi"/>
          <w:sz w:val="20"/>
          <w:szCs w:val="20"/>
        </w:rPr>
        <w:t xml:space="preserve"> to dispose its 50% equity interest in My Record Sdn</w:t>
      </w:r>
      <w:r w:rsidR="005645F3">
        <w:rPr>
          <w:rFonts w:asciiTheme="minorHAnsi" w:hAnsiTheme="minorHAnsi"/>
          <w:sz w:val="20"/>
          <w:szCs w:val="20"/>
        </w:rPr>
        <w:t xml:space="preserve"> </w:t>
      </w:r>
      <w:r w:rsidR="00062A61" w:rsidRPr="00F12709">
        <w:rPr>
          <w:rFonts w:asciiTheme="minorHAnsi" w:hAnsiTheme="minorHAnsi"/>
          <w:sz w:val="20"/>
          <w:szCs w:val="20"/>
        </w:rPr>
        <w:t>Bhd (f</w:t>
      </w:r>
      <w:r w:rsidR="00376881">
        <w:rPr>
          <w:rFonts w:asciiTheme="minorHAnsi" w:hAnsiTheme="minorHAnsi"/>
          <w:sz w:val="20"/>
          <w:szCs w:val="20"/>
        </w:rPr>
        <w:t>ormerly known as Sure-Reach Sma</w:t>
      </w:r>
      <w:r w:rsidR="00062A61" w:rsidRPr="00F12709">
        <w:rPr>
          <w:rFonts w:asciiTheme="minorHAnsi" w:hAnsiTheme="minorHAnsi"/>
          <w:sz w:val="20"/>
          <w:szCs w:val="20"/>
        </w:rPr>
        <w:t>tag Sdn</w:t>
      </w:r>
      <w:r w:rsidR="005645F3">
        <w:rPr>
          <w:rFonts w:asciiTheme="minorHAnsi" w:hAnsiTheme="minorHAnsi"/>
          <w:sz w:val="20"/>
          <w:szCs w:val="20"/>
        </w:rPr>
        <w:t xml:space="preserve"> </w:t>
      </w:r>
      <w:r w:rsidR="00062A61" w:rsidRPr="00F12709">
        <w:rPr>
          <w:rFonts w:asciiTheme="minorHAnsi" w:hAnsiTheme="minorHAnsi"/>
          <w:sz w:val="20"/>
          <w:szCs w:val="20"/>
        </w:rPr>
        <w:t xml:space="preserve">Bhd) comprising 5,015,000 ordinary shares of RM1.00 each for a cash disposal consideration of RM5,000,000. </w:t>
      </w:r>
      <w:r w:rsidR="00062A61" w:rsidRPr="00F12709">
        <w:rPr>
          <w:rFonts w:asciiTheme="minorHAnsi" w:hAnsiTheme="minorHAnsi"/>
          <w:bCs/>
          <w:sz w:val="20"/>
          <w:szCs w:val="20"/>
        </w:rPr>
        <w:t>The Company had received a deposit sum equivalent to 10% of the Disposal Consideration amounting to Ringgit Malaysia Five Hundred Thousand (RM500,000.00</w:t>
      </w:r>
      <w:r w:rsidR="00062A61" w:rsidRPr="000E78EA">
        <w:rPr>
          <w:rFonts w:asciiTheme="minorHAnsi" w:hAnsiTheme="minorHAnsi"/>
          <w:bCs/>
          <w:sz w:val="20"/>
          <w:szCs w:val="20"/>
        </w:rPr>
        <w:t>).As at the date of this report, the Share Sale Agreement (“SSA”) is pending fulfil</w:t>
      </w:r>
      <w:r w:rsidR="005645F3">
        <w:rPr>
          <w:rFonts w:asciiTheme="minorHAnsi" w:hAnsiTheme="minorHAnsi"/>
          <w:bCs/>
          <w:sz w:val="20"/>
          <w:szCs w:val="20"/>
        </w:rPr>
        <w:t>l</w:t>
      </w:r>
      <w:r w:rsidR="00062A61" w:rsidRPr="000E78EA">
        <w:rPr>
          <w:rFonts w:asciiTheme="minorHAnsi" w:hAnsiTheme="minorHAnsi"/>
          <w:bCs/>
          <w:sz w:val="20"/>
          <w:szCs w:val="20"/>
        </w:rPr>
        <w:t>ment of the conditions precedent in accordance with the terms of the SSA.</w:t>
      </w:r>
      <w:r w:rsidR="0099510A">
        <w:rPr>
          <w:rFonts w:asciiTheme="minorHAnsi" w:hAnsiTheme="minorHAnsi"/>
          <w:bCs/>
          <w:sz w:val="20"/>
          <w:szCs w:val="20"/>
        </w:rPr>
        <w:t xml:space="preserve"> </w:t>
      </w:r>
    </w:p>
    <w:p w:rsidR="0099510A" w:rsidRDefault="0099510A" w:rsidP="0099510A">
      <w:pPr>
        <w:pStyle w:val="ListParagraph"/>
        <w:ind w:left="709"/>
        <w:jc w:val="both"/>
        <w:rPr>
          <w:rFonts w:asciiTheme="minorHAnsi" w:hAnsiTheme="minorHAnsi"/>
          <w:bCs/>
          <w:sz w:val="20"/>
          <w:szCs w:val="20"/>
        </w:rPr>
      </w:pPr>
    </w:p>
    <w:p w:rsidR="00D834E4" w:rsidRDefault="001A79C4" w:rsidP="001F36DB">
      <w:pPr>
        <w:pStyle w:val="ListParagraph"/>
        <w:ind w:left="709"/>
        <w:jc w:val="both"/>
        <w:rPr>
          <w:rFonts w:asciiTheme="minorHAnsi" w:hAnsiTheme="minorHAnsi"/>
          <w:sz w:val="20"/>
          <w:szCs w:val="20"/>
        </w:rPr>
      </w:pPr>
      <w:r>
        <w:rPr>
          <w:rFonts w:asciiTheme="minorHAnsi" w:hAnsiTheme="minorHAnsi"/>
          <w:sz w:val="20"/>
          <w:szCs w:val="20"/>
        </w:rPr>
        <w:t xml:space="preserve">On 18 February 2016, the Company had written to </w:t>
      </w:r>
      <w:r w:rsidRPr="00F12709">
        <w:rPr>
          <w:rFonts w:asciiTheme="minorHAnsi" w:hAnsiTheme="minorHAnsi"/>
          <w:sz w:val="20"/>
          <w:szCs w:val="20"/>
        </w:rPr>
        <w:t xml:space="preserve">One Trooper to </w:t>
      </w:r>
      <w:r>
        <w:rPr>
          <w:rFonts w:asciiTheme="minorHAnsi" w:hAnsiTheme="minorHAnsi"/>
          <w:sz w:val="20"/>
          <w:szCs w:val="20"/>
        </w:rPr>
        <w:t>seek for an official reply in respect of the due diligence conducted by them on My Record Sdn. Bhd. pursuant to the S</w:t>
      </w:r>
      <w:r w:rsidR="00ED4624">
        <w:rPr>
          <w:rFonts w:asciiTheme="minorHAnsi" w:hAnsiTheme="minorHAnsi"/>
          <w:sz w:val="20"/>
          <w:szCs w:val="20"/>
        </w:rPr>
        <w:t>SA</w:t>
      </w:r>
      <w:r>
        <w:rPr>
          <w:rFonts w:asciiTheme="minorHAnsi" w:hAnsiTheme="minorHAnsi"/>
          <w:sz w:val="20"/>
          <w:szCs w:val="20"/>
        </w:rPr>
        <w:t xml:space="preserve"> and the Board of Directors had agreed to grant a further period of three (3) weeks until 12 March 2016  for </w:t>
      </w:r>
      <w:r w:rsidR="0003708B">
        <w:rPr>
          <w:rFonts w:asciiTheme="minorHAnsi" w:hAnsiTheme="minorHAnsi"/>
          <w:sz w:val="20"/>
          <w:szCs w:val="20"/>
        </w:rPr>
        <w:t>One Trooper</w:t>
      </w:r>
      <w:r>
        <w:rPr>
          <w:rFonts w:asciiTheme="minorHAnsi" w:hAnsiTheme="minorHAnsi"/>
          <w:sz w:val="20"/>
          <w:szCs w:val="20"/>
        </w:rPr>
        <w:t xml:space="preserve"> to respond officially in writing. </w:t>
      </w:r>
    </w:p>
    <w:p w:rsidR="00D834E4" w:rsidRDefault="00D834E4" w:rsidP="001F36DB">
      <w:pPr>
        <w:pStyle w:val="ListParagraph"/>
        <w:ind w:left="709"/>
        <w:jc w:val="both"/>
        <w:rPr>
          <w:rFonts w:asciiTheme="minorHAnsi" w:hAnsiTheme="minorHAnsi"/>
          <w:sz w:val="20"/>
          <w:szCs w:val="20"/>
        </w:rPr>
      </w:pPr>
    </w:p>
    <w:p w:rsidR="001A79C4" w:rsidRPr="001A79C4" w:rsidRDefault="001F36DB" w:rsidP="001F36DB">
      <w:pPr>
        <w:pStyle w:val="ListParagraph"/>
        <w:ind w:left="709"/>
        <w:jc w:val="both"/>
        <w:rPr>
          <w:rFonts w:asciiTheme="minorHAnsi" w:hAnsiTheme="minorHAnsi"/>
          <w:b/>
          <w:bCs/>
          <w:sz w:val="20"/>
          <w:szCs w:val="20"/>
        </w:rPr>
      </w:pPr>
      <w:r>
        <w:rPr>
          <w:rFonts w:asciiTheme="minorHAnsi" w:hAnsiTheme="minorHAnsi"/>
          <w:sz w:val="20"/>
          <w:szCs w:val="20"/>
        </w:rPr>
        <w:t>On 1 March 2016, the Company received notice from One Trooper stating that they d</w:t>
      </w:r>
      <w:r w:rsidR="00310BB6">
        <w:rPr>
          <w:rFonts w:asciiTheme="minorHAnsi" w:hAnsiTheme="minorHAnsi"/>
          <w:sz w:val="20"/>
          <w:szCs w:val="20"/>
        </w:rPr>
        <w:t>id</w:t>
      </w:r>
      <w:r>
        <w:rPr>
          <w:rFonts w:asciiTheme="minorHAnsi" w:hAnsiTheme="minorHAnsi"/>
          <w:sz w:val="20"/>
          <w:szCs w:val="20"/>
        </w:rPr>
        <w:t xml:space="preserve"> not </w:t>
      </w:r>
      <w:r w:rsidR="002255C9">
        <w:rPr>
          <w:rFonts w:asciiTheme="minorHAnsi" w:hAnsiTheme="minorHAnsi"/>
          <w:sz w:val="20"/>
          <w:szCs w:val="20"/>
        </w:rPr>
        <w:t>intend</w:t>
      </w:r>
      <w:r>
        <w:rPr>
          <w:rFonts w:asciiTheme="minorHAnsi" w:hAnsiTheme="minorHAnsi"/>
          <w:sz w:val="20"/>
          <w:szCs w:val="20"/>
        </w:rPr>
        <w:t xml:space="preserve"> to proceed with the said acquisition which resulting in the termination of the said agreement.</w:t>
      </w:r>
    </w:p>
    <w:p w:rsidR="00F84980" w:rsidRDefault="00F84980" w:rsidP="00C04237">
      <w:pPr>
        <w:spacing w:after="0" w:line="240" w:lineRule="auto"/>
        <w:rPr>
          <w:rFonts w:asciiTheme="minorHAnsi" w:hAnsiTheme="minorHAnsi"/>
          <w:b/>
          <w:bCs/>
          <w:sz w:val="20"/>
          <w:szCs w:val="20"/>
        </w:rPr>
      </w:pPr>
    </w:p>
    <w:p w:rsidR="00C04237" w:rsidRPr="008374DE" w:rsidRDefault="00C04237" w:rsidP="00C04237">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ON CONSOLIDATED RESULTS </w:t>
      </w:r>
    </w:p>
    <w:p w:rsidR="00C04237" w:rsidRDefault="00C04237" w:rsidP="00C04237">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w:t>
      </w:r>
      <w:r w:rsidR="00F920EE" w:rsidRPr="008374DE">
        <w:rPr>
          <w:rFonts w:asciiTheme="minorHAnsi" w:hAnsiTheme="minorHAnsi"/>
          <w:b/>
          <w:bCs/>
          <w:sz w:val="20"/>
          <w:szCs w:val="20"/>
        </w:rPr>
        <w:t xml:space="preserve">for the </w:t>
      </w:r>
      <w:r w:rsidR="00F920EE">
        <w:rPr>
          <w:rFonts w:asciiTheme="minorHAnsi" w:hAnsiTheme="minorHAnsi"/>
          <w:b/>
          <w:bCs/>
          <w:sz w:val="20"/>
          <w:szCs w:val="20"/>
        </w:rPr>
        <w:t>Month</w:t>
      </w:r>
      <w:r w:rsidR="00F920EE" w:rsidRPr="008374DE">
        <w:rPr>
          <w:rFonts w:asciiTheme="minorHAnsi" w:hAnsiTheme="minorHAnsi"/>
          <w:b/>
          <w:bCs/>
          <w:sz w:val="20"/>
          <w:szCs w:val="20"/>
        </w:rPr>
        <w:t xml:space="preserve"> Ended </w:t>
      </w:r>
      <w:r w:rsidR="00F920EE">
        <w:rPr>
          <w:rFonts w:asciiTheme="minorHAnsi" w:hAnsiTheme="minorHAnsi"/>
          <w:b/>
          <w:bCs/>
          <w:sz w:val="20"/>
          <w:szCs w:val="20"/>
        </w:rPr>
        <w:t xml:space="preserve">31 July </w:t>
      </w:r>
      <w:r w:rsidR="00C33B1C">
        <w:rPr>
          <w:rFonts w:asciiTheme="minorHAnsi" w:hAnsiTheme="minorHAnsi"/>
          <w:b/>
          <w:bCs/>
          <w:sz w:val="20"/>
          <w:szCs w:val="20"/>
        </w:rPr>
        <w:t>2016</w:t>
      </w:r>
    </w:p>
    <w:p w:rsidR="00C04237" w:rsidRPr="00AD0637" w:rsidRDefault="00C04237" w:rsidP="00C04237">
      <w:pPr>
        <w:pStyle w:val="NoSpacing"/>
        <w:jc w:val="both"/>
        <w:rPr>
          <w:rFonts w:asciiTheme="minorHAnsi" w:hAnsiTheme="minorHAnsi"/>
          <w:sz w:val="20"/>
          <w:szCs w:val="20"/>
        </w:rPr>
      </w:pPr>
    </w:p>
    <w:p w:rsidR="001F36DB" w:rsidRDefault="00C04237" w:rsidP="00C04237">
      <w:pPr>
        <w:spacing w:after="0" w:line="240" w:lineRule="auto"/>
        <w:ind w:left="720" w:hanging="720"/>
        <w:jc w:val="both"/>
        <w:rPr>
          <w:rFonts w:asciiTheme="minorHAnsi" w:hAnsiTheme="minorHAnsi"/>
          <w:b/>
          <w:bCs/>
          <w:sz w:val="20"/>
          <w:szCs w:val="20"/>
        </w:rPr>
      </w:pPr>
      <w:r w:rsidRPr="008374DE">
        <w:rPr>
          <w:rFonts w:asciiTheme="minorHAnsi" w:hAnsiTheme="minorHAnsi"/>
          <w:b/>
          <w:bCs/>
          <w:sz w:val="20"/>
          <w:szCs w:val="20"/>
        </w:rPr>
        <w:t xml:space="preserve">B: </w:t>
      </w:r>
      <w:r w:rsidRPr="008374DE">
        <w:rPr>
          <w:rFonts w:asciiTheme="minorHAnsi" w:hAnsiTheme="minorHAnsi" w:cs="Times New Roman"/>
          <w:b/>
          <w:bCs/>
          <w:sz w:val="20"/>
          <w:szCs w:val="20"/>
        </w:rPr>
        <w:tab/>
      </w:r>
      <w:r w:rsidRPr="008374DE">
        <w:rPr>
          <w:rFonts w:asciiTheme="minorHAnsi" w:hAnsiTheme="minorHAnsi"/>
          <w:b/>
          <w:bCs/>
          <w:sz w:val="20"/>
          <w:szCs w:val="20"/>
        </w:rPr>
        <w:t>EXPLANATORY NOTES PURSUANT TO APPENDIX 9B OF THE ACE MARKET LISTING REQUIREMENTS OF BURSA SECURITIES</w:t>
      </w:r>
      <w:r>
        <w:rPr>
          <w:rFonts w:asciiTheme="minorHAnsi" w:hAnsiTheme="minorHAnsi"/>
          <w:b/>
          <w:bCs/>
          <w:sz w:val="20"/>
          <w:szCs w:val="20"/>
        </w:rPr>
        <w:t xml:space="preserve"> (CONT’D)</w:t>
      </w:r>
    </w:p>
    <w:p w:rsidR="001F36DB" w:rsidRDefault="001F36DB" w:rsidP="00C04237">
      <w:pPr>
        <w:spacing w:after="0" w:line="240" w:lineRule="auto"/>
        <w:ind w:left="720" w:hanging="720"/>
        <w:jc w:val="both"/>
        <w:rPr>
          <w:rFonts w:asciiTheme="minorHAnsi" w:hAnsiTheme="minorHAnsi"/>
          <w:b/>
          <w:bCs/>
          <w:sz w:val="20"/>
          <w:szCs w:val="20"/>
        </w:rPr>
      </w:pPr>
      <w:r>
        <w:rPr>
          <w:rFonts w:asciiTheme="minorHAnsi" w:hAnsiTheme="minorHAnsi"/>
          <w:b/>
          <w:bCs/>
          <w:sz w:val="20"/>
          <w:szCs w:val="20"/>
        </w:rPr>
        <w:t xml:space="preserve">          </w:t>
      </w:r>
    </w:p>
    <w:p w:rsidR="000F04AE" w:rsidRDefault="008E0418" w:rsidP="000F04AE">
      <w:pPr>
        <w:pStyle w:val="ListParagraph"/>
        <w:numPr>
          <w:ilvl w:val="0"/>
          <w:numId w:val="31"/>
        </w:numPr>
        <w:jc w:val="both"/>
        <w:rPr>
          <w:rFonts w:asciiTheme="minorHAnsi" w:hAnsiTheme="minorHAnsi" w:cs="Arial"/>
          <w:color w:val="000000"/>
          <w:sz w:val="20"/>
          <w:szCs w:val="20"/>
          <w:shd w:val="clear" w:color="auto" w:fill="FFFFFF"/>
        </w:rPr>
      </w:pPr>
      <w:r w:rsidRPr="000F04AE">
        <w:rPr>
          <w:rFonts w:asciiTheme="minorHAnsi" w:hAnsiTheme="minorHAnsi" w:cs="Arial"/>
          <w:color w:val="000000"/>
          <w:sz w:val="20"/>
          <w:szCs w:val="20"/>
          <w:shd w:val="clear" w:color="auto" w:fill="FFFFFF"/>
        </w:rPr>
        <w:t>On 11 November 2015, the Board of Directors announced to Bursa Malaysia that the Company entered into a Sale and Purchase Agreement with Sun Bright International Holding Limited for the disposal of the entire issued and paid-up share capital of LEYS International Limited, a wholly-owned subsidiary of the Company, comprising 2 ordinary shares of HKD1.00 each, for the share transfer price of HKD2.00. Following the disposal, LEYS International Limited  ceased to be a subsidiary of the Company.</w:t>
      </w:r>
    </w:p>
    <w:p w:rsidR="000F04AE" w:rsidRPr="000F04AE" w:rsidRDefault="000F04AE" w:rsidP="000F04AE">
      <w:pPr>
        <w:pStyle w:val="ListParagraph"/>
        <w:jc w:val="both"/>
        <w:rPr>
          <w:rFonts w:asciiTheme="minorHAnsi" w:hAnsiTheme="minorHAnsi" w:cs="Arial"/>
          <w:color w:val="000000"/>
          <w:sz w:val="20"/>
          <w:szCs w:val="20"/>
          <w:shd w:val="clear" w:color="auto" w:fill="FFFFFF"/>
        </w:rPr>
      </w:pPr>
    </w:p>
    <w:p w:rsidR="000F04AE" w:rsidRPr="000F04AE" w:rsidRDefault="000F04AE" w:rsidP="000F04AE">
      <w:pPr>
        <w:pStyle w:val="ListParagraph"/>
        <w:numPr>
          <w:ilvl w:val="0"/>
          <w:numId w:val="31"/>
        </w:numPr>
        <w:jc w:val="both"/>
        <w:rPr>
          <w:rFonts w:asciiTheme="minorHAnsi" w:hAnsiTheme="minorHAnsi" w:cstheme="minorHAnsi"/>
          <w:color w:val="000000"/>
          <w:sz w:val="20"/>
          <w:szCs w:val="20"/>
          <w:shd w:val="clear" w:color="auto" w:fill="FFFFFF"/>
        </w:rPr>
      </w:pPr>
      <w:r>
        <w:rPr>
          <w:rFonts w:asciiTheme="minorHAnsi" w:hAnsiTheme="minorHAnsi" w:cs="Arial"/>
          <w:color w:val="000000"/>
          <w:sz w:val="20"/>
          <w:szCs w:val="20"/>
          <w:shd w:val="clear" w:color="auto" w:fill="FFFFFF"/>
        </w:rPr>
        <w:t>On 30</w:t>
      </w:r>
      <w:r w:rsidRPr="000F04AE">
        <w:rPr>
          <w:rFonts w:asciiTheme="minorHAnsi" w:hAnsiTheme="minorHAnsi" w:cstheme="minorHAnsi"/>
          <w:color w:val="000000"/>
          <w:sz w:val="20"/>
          <w:szCs w:val="20"/>
          <w:shd w:val="clear" w:color="auto" w:fill="FFFFFF"/>
        </w:rPr>
        <w:t xml:space="preserve"> March 2016</w:t>
      </w:r>
      <w:r>
        <w:rPr>
          <w:rFonts w:asciiTheme="minorHAnsi" w:hAnsiTheme="minorHAnsi" w:cs="Arial"/>
          <w:color w:val="000000"/>
          <w:sz w:val="20"/>
          <w:szCs w:val="20"/>
          <w:shd w:val="clear" w:color="auto" w:fill="FFFFFF"/>
        </w:rPr>
        <w:t xml:space="preserve">, the Board of Directors announced to Bursa Malaysia that the Company </w:t>
      </w:r>
      <w:r w:rsidRPr="000F04AE">
        <w:rPr>
          <w:rFonts w:asciiTheme="minorHAnsi" w:hAnsiTheme="minorHAnsi" w:cstheme="minorHAnsi"/>
          <w:color w:val="000000"/>
          <w:sz w:val="20"/>
          <w:szCs w:val="20"/>
          <w:shd w:val="clear" w:color="auto" w:fill="FFFFFF"/>
        </w:rPr>
        <w:t>disposed its entire 31.61% equity interest amounting to 10 million ordinary shares in Smartag International Inc. (“SII”)</w:t>
      </w:r>
      <w:r>
        <w:rPr>
          <w:rStyle w:val="apple-converted-space"/>
          <w:rFonts w:ascii="Arial" w:hAnsi="Arial" w:cs="Arial"/>
          <w:color w:val="000000"/>
          <w:sz w:val="18"/>
          <w:szCs w:val="18"/>
          <w:shd w:val="clear" w:color="auto" w:fill="FFFFFF"/>
        </w:rPr>
        <w:t> </w:t>
      </w:r>
      <w:r w:rsidRPr="000F04AE">
        <w:rPr>
          <w:rFonts w:asciiTheme="minorHAnsi" w:hAnsiTheme="minorHAnsi" w:cstheme="minorHAnsi"/>
          <w:color w:val="000000"/>
          <w:sz w:val="20"/>
          <w:szCs w:val="20"/>
          <w:shd w:val="clear" w:color="auto" w:fill="FFFFFF"/>
        </w:rPr>
        <w:t xml:space="preserve">at a prevailing market price of USD0.0006 cents per share quoted on the Over-The-Counter (“OTC”) market in the United States for a total consideration of USD6,000 on 29 March 2016 (at the date of the United States) (“the Disposal”). Following the disposal, SII ceased to be an associate company of </w:t>
      </w:r>
      <w:r>
        <w:rPr>
          <w:rFonts w:asciiTheme="minorHAnsi" w:hAnsiTheme="minorHAnsi" w:cstheme="minorHAnsi"/>
          <w:color w:val="000000"/>
          <w:sz w:val="20"/>
          <w:szCs w:val="20"/>
          <w:shd w:val="clear" w:color="auto" w:fill="FFFFFF"/>
        </w:rPr>
        <w:t>the Company</w:t>
      </w:r>
      <w:r w:rsidRPr="000F04AE">
        <w:rPr>
          <w:rFonts w:asciiTheme="minorHAnsi" w:hAnsiTheme="minorHAnsi" w:cstheme="minorHAnsi"/>
          <w:color w:val="000000"/>
          <w:sz w:val="20"/>
          <w:szCs w:val="20"/>
          <w:shd w:val="clear" w:color="auto" w:fill="FFFFFF"/>
        </w:rPr>
        <w:t>.</w:t>
      </w:r>
    </w:p>
    <w:p w:rsidR="00062A61" w:rsidRPr="00062A61" w:rsidRDefault="00062A61" w:rsidP="00BD0388">
      <w:pPr>
        <w:spacing w:after="0" w:line="240" w:lineRule="auto"/>
        <w:jc w:val="both"/>
        <w:rPr>
          <w:rFonts w:asciiTheme="minorHAnsi" w:hAnsiTheme="minorHAnsi"/>
          <w:sz w:val="20"/>
          <w:szCs w:val="20"/>
          <w:lang w:val="en-US"/>
        </w:rPr>
      </w:pPr>
    </w:p>
    <w:p w:rsidR="00062A61" w:rsidRDefault="00062A61" w:rsidP="00BD0388">
      <w:pPr>
        <w:spacing w:after="0" w:line="240" w:lineRule="auto"/>
        <w:jc w:val="both"/>
        <w:rPr>
          <w:rFonts w:asciiTheme="minorHAnsi" w:hAnsiTheme="minorHAnsi"/>
          <w:sz w:val="20"/>
          <w:szCs w:val="20"/>
        </w:rPr>
      </w:pPr>
    </w:p>
    <w:p w:rsidR="00062A61" w:rsidRPr="008374DE" w:rsidRDefault="00062A61" w:rsidP="00062A61">
      <w:pPr>
        <w:spacing w:after="0" w:line="240" w:lineRule="auto"/>
        <w:rPr>
          <w:rFonts w:cs="Times New Roman"/>
          <w:sz w:val="20"/>
          <w:szCs w:val="20"/>
        </w:rPr>
      </w:pPr>
      <w:r>
        <w:rPr>
          <w:rFonts w:asciiTheme="minorHAnsi" w:hAnsiTheme="minorHAnsi"/>
          <w:b/>
          <w:bCs/>
          <w:sz w:val="20"/>
          <w:szCs w:val="20"/>
        </w:rPr>
        <w:t>B7</w:t>
      </w:r>
      <w:r w:rsidRPr="008374DE">
        <w:rPr>
          <w:rFonts w:asciiTheme="minorHAnsi" w:hAnsiTheme="minorHAnsi"/>
          <w:b/>
          <w:bCs/>
          <w:sz w:val="20"/>
          <w:szCs w:val="20"/>
        </w:rPr>
        <w:t>. Group borrowings and debt securities</w:t>
      </w:r>
    </w:p>
    <w:p w:rsidR="00062A61" w:rsidRDefault="00062A61" w:rsidP="00062A61">
      <w:pPr>
        <w:spacing w:after="0" w:line="240" w:lineRule="auto"/>
        <w:rPr>
          <w:rFonts w:asciiTheme="minorHAnsi" w:hAnsiTheme="minorHAnsi" w:cs="Times New Roman"/>
          <w:b/>
          <w:bCs/>
          <w:sz w:val="20"/>
          <w:szCs w:val="20"/>
        </w:rPr>
      </w:pPr>
    </w:p>
    <w:p w:rsidR="003F57A6" w:rsidRPr="008374DE" w:rsidRDefault="003F57A6" w:rsidP="003F57A6">
      <w:pPr>
        <w:spacing w:after="0" w:line="240" w:lineRule="auto"/>
        <w:rPr>
          <w:rFonts w:asciiTheme="minorHAnsi" w:hAnsiTheme="minorHAnsi" w:cs="Times New Roman"/>
          <w:b/>
          <w:bCs/>
          <w:sz w:val="20"/>
          <w:szCs w:val="20"/>
        </w:rPr>
      </w:pPr>
    </w:p>
    <w:p w:rsidR="003F57A6" w:rsidRPr="003F57A6" w:rsidRDefault="003F57A6" w:rsidP="00062A61">
      <w:pPr>
        <w:spacing w:after="0" w:line="240" w:lineRule="auto"/>
        <w:rPr>
          <w:rFonts w:asciiTheme="minorHAnsi" w:hAnsiTheme="minorHAnsi"/>
          <w:sz w:val="20"/>
          <w:szCs w:val="20"/>
        </w:rPr>
      </w:pPr>
      <w:r w:rsidRPr="008374DE">
        <w:rPr>
          <w:rFonts w:asciiTheme="minorHAnsi" w:hAnsiTheme="minorHAnsi"/>
          <w:sz w:val="20"/>
          <w:szCs w:val="20"/>
        </w:rPr>
        <w:t xml:space="preserve">As at the reporting date, the </w:t>
      </w:r>
      <w:r>
        <w:rPr>
          <w:rFonts w:asciiTheme="minorHAnsi" w:hAnsiTheme="minorHAnsi"/>
          <w:sz w:val="20"/>
          <w:szCs w:val="20"/>
        </w:rPr>
        <w:t>Group does not have any borrowings and debt securities.</w:t>
      </w:r>
    </w:p>
    <w:p w:rsidR="003F57A6" w:rsidRPr="008374DE" w:rsidRDefault="003F57A6" w:rsidP="00062A61">
      <w:pPr>
        <w:spacing w:after="0" w:line="240" w:lineRule="auto"/>
        <w:rPr>
          <w:rFonts w:asciiTheme="minorHAnsi" w:hAnsiTheme="minorHAnsi" w:cs="Times New Roman"/>
          <w:b/>
          <w:bCs/>
          <w:sz w:val="20"/>
          <w:szCs w:val="20"/>
        </w:rPr>
      </w:pPr>
    </w:p>
    <w:p w:rsidR="00062A61" w:rsidRDefault="00062A61" w:rsidP="00062A61">
      <w:pPr>
        <w:spacing w:after="0" w:line="240" w:lineRule="auto"/>
        <w:rPr>
          <w:rFonts w:asciiTheme="minorHAnsi" w:hAnsiTheme="minorHAnsi" w:cs="Times New Roman"/>
          <w:b/>
          <w:bCs/>
          <w:sz w:val="20"/>
          <w:szCs w:val="20"/>
        </w:rPr>
      </w:pPr>
    </w:p>
    <w:p w:rsidR="003F57A6" w:rsidRPr="008374DE" w:rsidRDefault="003F57A6" w:rsidP="003F57A6">
      <w:pPr>
        <w:spacing w:after="0" w:line="240" w:lineRule="auto"/>
        <w:rPr>
          <w:rFonts w:asciiTheme="minorHAnsi" w:hAnsiTheme="minorHAnsi" w:cs="Times New Roman"/>
          <w:b/>
          <w:bCs/>
          <w:sz w:val="20"/>
          <w:szCs w:val="20"/>
        </w:rPr>
      </w:pPr>
      <w:r>
        <w:rPr>
          <w:rFonts w:asciiTheme="minorHAnsi" w:hAnsiTheme="minorHAnsi"/>
          <w:b/>
          <w:bCs/>
          <w:sz w:val="20"/>
          <w:szCs w:val="20"/>
        </w:rPr>
        <w:t>B8</w:t>
      </w:r>
      <w:r w:rsidRPr="008374DE">
        <w:rPr>
          <w:rFonts w:asciiTheme="minorHAnsi" w:hAnsiTheme="minorHAnsi"/>
          <w:b/>
          <w:bCs/>
          <w:sz w:val="20"/>
          <w:szCs w:val="20"/>
        </w:rPr>
        <w:t>. Off balance sheet financial instruments</w:t>
      </w:r>
    </w:p>
    <w:p w:rsidR="003F57A6" w:rsidRPr="008374DE" w:rsidRDefault="003F57A6" w:rsidP="003F57A6">
      <w:pPr>
        <w:spacing w:after="0" w:line="240" w:lineRule="auto"/>
        <w:rPr>
          <w:rFonts w:asciiTheme="minorHAnsi" w:hAnsiTheme="minorHAnsi" w:cs="Times New Roman"/>
          <w:b/>
          <w:bCs/>
          <w:sz w:val="20"/>
          <w:szCs w:val="20"/>
        </w:rPr>
      </w:pPr>
    </w:p>
    <w:p w:rsidR="003F57A6" w:rsidRPr="008374DE" w:rsidRDefault="003F57A6" w:rsidP="003F57A6">
      <w:pPr>
        <w:spacing w:after="0" w:line="240" w:lineRule="auto"/>
        <w:rPr>
          <w:rFonts w:asciiTheme="minorHAnsi" w:hAnsiTheme="minorHAnsi"/>
          <w:sz w:val="20"/>
          <w:szCs w:val="20"/>
        </w:rPr>
      </w:pPr>
      <w:r w:rsidRPr="008374DE">
        <w:rPr>
          <w:rFonts w:asciiTheme="minorHAnsi" w:hAnsiTheme="minorHAnsi"/>
          <w:sz w:val="20"/>
          <w:szCs w:val="20"/>
        </w:rPr>
        <w:t>As at the reporting date, the Group does not have any off balance sheet financial instruments.</w:t>
      </w:r>
    </w:p>
    <w:p w:rsidR="00062A61" w:rsidRDefault="00062A61" w:rsidP="00062A61">
      <w:pPr>
        <w:spacing w:after="0" w:line="240" w:lineRule="auto"/>
        <w:rPr>
          <w:rFonts w:asciiTheme="minorHAnsi" w:hAnsiTheme="minorHAnsi" w:cs="Times New Roman"/>
          <w:b/>
          <w:bCs/>
          <w:sz w:val="20"/>
          <w:szCs w:val="20"/>
        </w:rPr>
      </w:pPr>
    </w:p>
    <w:p w:rsidR="00062A61" w:rsidRDefault="00062A61" w:rsidP="00BD0388">
      <w:pPr>
        <w:spacing w:after="0" w:line="240" w:lineRule="auto"/>
        <w:jc w:val="both"/>
        <w:rPr>
          <w:rFonts w:asciiTheme="minorHAnsi" w:hAnsiTheme="minorHAnsi"/>
          <w:sz w:val="20"/>
          <w:szCs w:val="20"/>
        </w:rPr>
      </w:pPr>
    </w:p>
    <w:p w:rsidR="001A79C4" w:rsidRPr="008374DE" w:rsidRDefault="001A79C4" w:rsidP="001A79C4">
      <w:pPr>
        <w:spacing w:after="0" w:line="240" w:lineRule="auto"/>
        <w:rPr>
          <w:rFonts w:asciiTheme="minorHAnsi" w:hAnsiTheme="minorHAnsi" w:cs="Times New Roman"/>
          <w:b/>
          <w:bCs/>
          <w:sz w:val="20"/>
          <w:szCs w:val="20"/>
        </w:rPr>
      </w:pPr>
      <w:r>
        <w:rPr>
          <w:rFonts w:asciiTheme="minorHAnsi" w:hAnsiTheme="minorHAnsi"/>
          <w:b/>
          <w:bCs/>
          <w:sz w:val="20"/>
          <w:szCs w:val="20"/>
        </w:rPr>
        <w:t>B9</w:t>
      </w:r>
      <w:r w:rsidRPr="008374DE">
        <w:rPr>
          <w:rFonts w:asciiTheme="minorHAnsi" w:hAnsiTheme="minorHAnsi"/>
          <w:b/>
          <w:bCs/>
          <w:sz w:val="20"/>
          <w:szCs w:val="20"/>
        </w:rPr>
        <w:t>. Material Litigations</w:t>
      </w:r>
    </w:p>
    <w:p w:rsidR="001A79C4" w:rsidRPr="008374DE" w:rsidRDefault="001A79C4" w:rsidP="001A79C4">
      <w:pPr>
        <w:spacing w:after="0" w:line="240" w:lineRule="auto"/>
        <w:rPr>
          <w:rFonts w:asciiTheme="minorHAnsi" w:hAnsiTheme="minorHAnsi" w:cs="Times New Roman"/>
          <w:b/>
          <w:bCs/>
          <w:sz w:val="20"/>
          <w:szCs w:val="20"/>
        </w:rPr>
      </w:pPr>
    </w:p>
    <w:p w:rsidR="001D4B8C" w:rsidRDefault="001D4B8C" w:rsidP="001D4B8C">
      <w:pPr>
        <w:autoSpaceDE w:val="0"/>
        <w:autoSpaceDN w:val="0"/>
        <w:adjustRightInd w:val="0"/>
        <w:spacing w:after="0" w:line="240" w:lineRule="auto"/>
        <w:jc w:val="both"/>
        <w:rPr>
          <w:rFonts w:asciiTheme="minorHAnsi" w:hAnsiTheme="minorHAnsi"/>
          <w:b/>
          <w:bCs/>
          <w:sz w:val="20"/>
          <w:szCs w:val="20"/>
          <w:lang w:val="en-US"/>
        </w:rPr>
      </w:pPr>
      <w:r w:rsidRPr="008374DE">
        <w:rPr>
          <w:rFonts w:asciiTheme="minorHAnsi" w:hAnsiTheme="minorHAnsi"/>
          <w:b/>
          <w:bCs/>
          <w:sz w:val="20"/>
          <w:szCs w:val="20"/>
          <w:lang w:val="en-US"/>
        </w:rPr>
        <w:t>Claim against both the defendants being G.T. &amp; T. Engineering (M) Sdn</w:t>
      </w:r>
      <w:r w:rsidR="006468EC">
        <w:rPr>
          <w:rFonts w:asciiTheme="minorHAnsi" w:hAnsiTheme="minorHAnsi"/>
          <w:b/>
          <w:bCs/>
          <w:sz w:val="20"/>
          <w:szCs w:val="20"/>
          <w:lang w:val="en-US"/>
        </w:rPr>
        <w:t xml:space="preserve">. </w:t>
      </w:r>
      <w:r w:rsidRPr="008374DE">
        <w:rPr>
          <w:rFonts w:asciiTheme="minorHAnsi" w:hAnsiTheme="minorHAnsi"/>
          <w:b/>
          <w:bCs/>
          <w:sz w:val="20"/>
          <w:szCs w:val="20"/>
          <w:lang w:val="en-US"/>
        </w:rPr>
        <w:t>Bhd (“GTT (M)”) and G.T.</w:t>
      </w:r>
      <w:r w:rsidR="002E0E47">
        <w:rPr>
          <w:rFonts w:asciiTheme="minorHAnsi" w:hAnsiTheme="minorHAnsi"/>
          <w:b/>
          <w:bCs/>
          <w:sz w:val="20"/>
          <w:szCs w:val="20"/>
          <w:lang w:val="en-US"/>
        </w:rPr>
        <w:t xml:space="preserve"> </w:t>
      </w:r>
      <w:r w:rsidRPr="008374DE">
        <w:rPr>
          <w:rFonts w:asciiTheme="minorHAnsi" w:hAnsiTheme="minorHAnsi"/>
          <w:b/>
          <w:bCs/>
          <w:sz w:val="20"/>
          <w:szCs w:val="20"/>
          <w:lang w:val="en-US"/>
        </w:rPr>
        <w:t xml:space="preserve">&amp;T. Engineering Pte Ltd (“GTT(S)”)   </w:t>
      </w:r>
    </w:p>
    <w:p w:rsidR="001D4B8C" w:rsidRPr="008374DE" w:rsidRDefault="001D4B8C" w:rsidP="001D4B8C">
      <w:pPr>
        <w:autoSpaceDE w:val="0"/>
        <w:autoSpaceDN w:val="0"/>
        <w:adjustRightInd w:val="0"/>
        <w:spacing w:after="0" w:line="240" w:lineRule="auto"/>
        <w:jc w:val="both"/>
        <w:rPr>
          <w:rFonts w:asciiTheme="minorHAnsi" w:hAnsiTheme="minorHAnsi"/>
          <w:b/>
          <w:bCs/>
          <w:sz w:val="20"/>
          <w:szCs w:val="20"/>
          <w:lang w:val="en-US"/>
        </w:rPr>
      </w:pPr>
    </w:p>
    <w:p w:rsidR="001D4B8C" w:rsidRPr="008374DE" w:rsidRDefault="001D4B8C" w:rsidP="001D4B8C">
      <w:pPr>
        <w:autoSpaceDE w:val="0"/>
        <w:autoSpaceDN w:val="0"/>
        <w:adjustRightInd w:val="0"/>
        <w:spacing w:after="0" w:line="240" w:lineRule="auto"/>
        <w:jc w:val="both"/>
        <w:rPr>
          <w:rFonts w:asciiTheme="minorHAnsi" w:hAnsiTheme="minorHAnsi"/>
          <w:bCs/>
          <w:sz w:val="20"/>
          <w:szCs w:val="20"/>
          <w:lang w:val="en-US"/>
        </w:rPr>
      </w:pPr>
      <w:r w:rsidRPr="008374DE">
        <w:rPr>
          <w:rFonts w:asciiTheme="minorHAnsi" w:hAnsiTheme="minorHAnsi"/>
          <w:bCs/>
          <w:sz w:val="20"/>
          <w:szCs w:val="20"/>
          <w:lang w:val="en-US"/>
        </w:rPr>
        <w:t xml:space="preserve">On 14 April 2009 and 17 March 2010, the Company had claimed from GTT (M) and GTT(S) respectively through the Johor Bahru High Court an amount of RM850,000.00 for the supply of 30,000 units of inferior RFID tags to Johor Port Berhad. </w:t>
      </w:r>
    </w:p>
    <w:p w:rsidR="001D4B8C" w:rsidRPr="008374DE" w:rsidRDefault="001D4B8C" w:rsidP="001D4B8C">
      <w:pPr>
        <w:spacing w:after="0" w:line="240" w:lineRule="auto"/>
        <w:jc w:val="both"/>
        <w:rPr>
          <w:rFonts w:asciiTheme="minorHAnsi" w:hAnsiTheme="minorHAnsi"/>
          <w:bCs/>
          <w:sz w:val="20"/>
          <w:szCs w:val="20"/>
          <w:lang w:val="en-US"/>
        </w:rPr>
      </w:pPr>
    </w:p>
    <w:p w:rsidR="001D4B8C" w:rsidRDefault="001D4B8C" w:rsidP="001D4B8C">
      <w:pPr>
        <w:spacing w:after="0" w:line="240" w:lineRule="auto"/>
        <w:jc w:val="both"/>
        <w:rPr>
          <w:rFonts w:asciiTheme="minorHAnsi" w:hAnsiTheme="minorHAnsi"/>
          <w:bCs/>
          <w:sz w:val="20"/>
          <w:szCs w:val="20"/>
          <w:lang w:val="en-US"/>
        </w:rPr>
      </w:pPr>
      <w:r>
        <w:rPr>
          <w:rFonts w:asciiTheme="minorHAnsi" w:hAnsiTheme="minorHAnsi"/>
          <w:bCs/>
          <w:sz w:val="20"/>
          <w:szCs w:val="20"/>
          <w:lang w:val="en-US"/>
        </w:rPr>
        <w:t xml:space="preserve">Subsequently, </w:t>
      </w:r>
      <w:r w:rsidRPr="008374DE">
        <w:rPr>
          <w:rFonts w:asciiTheme="minorHAnsi" w:hAnsiTheme="minorHAnsi"/>
          <w:bCs/>
          <w:sz w:val="20"/>
          <w:szCs w:val="20"/>
          <w:lang w:val="en-US"/>
        </w:rPr>
        <w:t>GTT(M) filed a</w:t>
      </w:r>
      <w:r>
        <w:rPr>
          <w:rFonts w:asciiTheme="minorHAnsi" w:hAnsiTheme="minorHAnsi"/>
          <w:bCs/>
          <w:sz w:val="20"/>
          <w:szCs w:val="20"/>
          <w:lang w:val="en-US"/>
        </w:rPr>
        <w:t xml:space="preserve"> counter</w:t>
      </w:r>
      <w:r w:rsidRPr="008374DE">
        <w:rPr>
          <w:rFonts w:asciiTheme="minorHAnsi" w:hAnsiTheme="minorHAnsi"/>
          <w:bCs/>
          <w:sz w:val="20"/>
          <w:szCs w:val="20"/>
          <w:lang w:val="en-US"/>
        </w:rPr>
        <w:t>claim against the Company for an amount of RM108,762.32 under the Johor Bahru Sessions Court (formerly in Shah Alam Sessions Court) in respect of damages for replacement of the abovementioned inferior RFID tags (referred to as the “JB Sessions Court Summons”).</w:t>
      </w:r>
    </w:p>
    <w:p w:rsidR="001D4B8C" w:rsidRDefault="001D4B8C" w:rsidP="001D4B8C">
      <w:pPr>
        <w:spacing w:after="0" w:line="240" w:lineRule="auto"/>
        <w:jc w:val="both"/>
        <w:rPr>
          <w:rFonts w:asciiTheme="minorHAnsi" w:hAnsiTheme="minorHAnsi"/>
          <w:bCs/>
          <w:sz w:val="20"/>
          <w:szCs w:val="20"/>
          <w:lang w:val="en-US"/>
        </w:rPr>
      </w:pPr>
    </w:p>
    <w:p w:rsidR="001D4B8C" w:rsidRDefault="001D4B8C" w:rsidP="001D4B8C">
      <w:pPr>
        <w:spacing w:after="0" w:line="240" w:lineRule="auto"/>
        <w:jc w:val="both"/>
        <w:rPr>
          <w:rFonts w:asciiTheme="minorHAnsi" w:hAnsiTheme="minorHAnsi"/>
          <w:bCs/>
          <w:sz w:val="20"/>
          <w:szCs w:val="20"/>
          <w:lang w:val="en-US"/>
        </w:rPr>
      </w:pPr>
      <w:r>
        <w:rPr>
          <w:rFonts w:asciiTheme="minorHAnsi" w:hAnsiTheme="minorHAnsi"/>
          <w:bCs/>
          <w:sz w:val="20"/>
          <w:szCs w:val="20"/>
          <w:lang w:val="en-US"/>
        </w:rPr>
        <w:t xml:space="preserve">After the close of pleadings, the cases (namely the Company’s suits against GTT (M) and GTT(S) and GTT(M)’s counterclaim) were consolidated and transferred to the Penang High Court. Thereafter, the Penang High Court transferred the cases to the Penang Sessions Court because the amount claimed by the respective parties were within the jurisdiction of the Sessions Court. </w:t>
      </w:r>
    </w:p>
    <w:p w:rsidR="000F04AE" w:rsidRDefault="000F04AE" w:rsidP="001D4B8C">
      <w:pPr>
        <w:spacing w:after="0" w:line="240" w:lineRule="auto"/>
        <w:jc w:val="both"/>
        <w:rPr>
          <w:rFonts w:asciiTheme="minorHAnsi" w:hAnsiTheme="minorHAnsi"/>
          <w:bCs/>
          <w:sz w:val="20"/>
          <w:szCs w:val="20"/>
          <w:lang w:val="en-US"/>
        </w:rPr>
      </w:pPr>
    </w:p>
    <w:p w:rsidR="000F04AE" w:rsidRDefault="000F04AE" w:rsidP="000F04AE">
      <w:pPr>
        <w:spacing w:after="0" w:line="240" w:lineRule="auto"/>
        <w:jc w:val="both"/>
        <w:rPr>
          <w:rFonts w:asciiTheme="minorHAnsi" w:hAnsiTheme="minorHAnsi"/>
          <w:bCs/>
          <w:sz w:val="20"/>
          <w:szCs w:val="20"/>
          <w:lang w:val="en-US"/>
        </w:rPr>
      </w:pPr>
      <w:r>
        <w:rPr>
          <w:rFonts w:asciiTheme="minorHAnsi" w:hAnsiTheme="minorHAnsi"/>
          <w:bCs/>
          <w:sz w:val="20"/>
          <w:szCs w:val="20"/>
          <w:lang w:val="en-US"/>
        </w:rPr>
        <w:t xml:space="preserve">Trial dates had previously been fixed but the trial were postponed for various reasons. At the latest, trial was fixed on 10 August 2015. However, the trial did not proceed because the Company had filed an application for leave to amend its Statement of Claim, which was subsequently allowed by the Penang Sessions Court. Parties have filed their respective amended Statement of Claim and amended Statement of Defence. </w:t>
      </w:r>
    </w:p>
    <w:p w:rsidR="000F04AE" w:rsidRDefault="000F04AE" w:rsidP="000F04AE">
      <w:pPr>
        <w:spacing w:after="0" w:line="240" w:lineRule="auto"/>
        <w:jc w:val="both"/>
        <w:rPr>
          <w:rFonts w:asciiTheme="minorHAnsi" w:hAnsiTheme="minorHAnsi"/>
          <w:bCs/>
          <w:sz w:val="20"/>
          <w:szCs w:val="20"/>
          <w:lang w:val="en-US"/>
        </w:rPr>
      </w:pPr>
    </w:p>
    <w:p w:rsidR="000F04AE" w:rsidRDefault="00F920EE" w:rsidP="000F04AE">
      <w:pPr>
        <w:spacing w:after="0" w:line="240" w:lineRule="auto"/>
        <w:jc w:val="both"/>
        <w:rPr>
          <w:rFonts w:asciiTheme="minorHAnsi" w:hAnsiTheme="minorHAnsi"/>
          <w:bCs/>
          <w:sz w:val="20"/>
          <w:szCs w:val="20"/>
          <w:lang w:val="en-US"/>
        </w:rPr>
      </w:pPr>
      <w:r>
        <w:rPr>
          <w:rFonts w:asciiTheme="minorHAnsi" w:hAnsiTheme="minorHAnsi"/>
          <w:bCs/>
          <w:sz w:val="20"/>
          <w:szCs w:val="20"/>
          <w:lang w:val="en-US"/>
        </w:rPr>
        <w:t>T</w:t>
      </w:r>
      <w:r w:rsidR="000F04AE">
        <w:rPr>
          <w:rFonts w:asciiTheme="minorHAnsi" w:hAnsiTheme="minorHAnsi"/>
          <w:bCs/>
          <w:sz w:val="20"/>
          <w:szCs w:val="20"/>
          <w:lang w:val="en-US"/>
        </w:rPr>
        <w:t xml:space="preserve">he case </w:t>
      </w:r>
      <w:r>
        <w:rPr>
          <w:rFonts w:asciiTheme="minorHAnsi" w:hAnsiTheme="minorHAnsi"/>
          <w:bCs/>
          <w:sz w:val="20"/>
          <w:szCs w:val="20"/>
          <w:lang w:val="en-US"/>
        </w:rPr>
        <w:t xml:space="preserve">was settled out of court </w:t>
      </w:r>
      <w:r w:rsidR="000F04AE">
        <w:rPr>
          <w:rFonts w:asciiTheme="minorHAnsi" w:hAnsiTheme="minorHAnsi"/>
          <w:bCs/>
          <w:sz w:val="20"/>
          <w:szCs w:val="20"/>
          <w:lang w:val="en-US"/>
        </w:rPr>
        <w:t>on 13 June 2016.</w:t>
      </w:r>
    </w:p>
    <w:p w:rsidR="000F04AE" w:rsidRDefault="000F04AE" w:rsidP="001D4B8C">
      <w:pPr>
        <w:spacing w:after="0" w:line="240" w:lineRule="auto"/>
        <w:jc w:val="both"/>
        <w:rPr>
          <w:rFonts w:asciiTheme="minorHAnsi" w:hAnsiTheme="minorHAnsi"/>
          <w:bCs/>
          <w:sz w:val="20"/>
          <w:szCs w:val="20"/>
          <w:lang w:val="en-US"/>
        </w:rPr>
      </w:pPr>
    </w:p>
    <w:p w:rsidR="001D4B8C" w:rsidRDefault="001D4B8C" w:rsidP="001D4B8C">
      <w:pPr>
        <w:spacing w:after="0" w:line="240" w:lineRule="auto"/>
        <w:jc w:val="both"/>
        <w:rPr>
          <w:rFonts w:asciiTheme="minorHAnsi" w:hAnsiTheme="minorHAnsi"/>
          <w:bCs/>
          <w:sz w:val="20"/>
          <w:szCs w:val="20"/>
          <w:lang w:val="en-US"/>
        </w:rPr>
      </w:pPr>
    </w:p>
    <w:p w:rsidR="001D4B8C" w:rsidRDefault="001D4B8C" w:rsidP="001D4B8C">
      <w:pPr>
        <w:spacing w:after="0" w:line="240" w:lineRule="auto"/>
        <w:rPr>
          <w:rFonts w:asciiTheme="minorHAnsi" w:hAnsiTheme="minorHAnsi"/>
          <w:b/>
          <w:bCs/>
          <w:sz w:val="20"/>
          <w:szCs w:val="20"/>
        </w:rPr>
      </w:pPr>
    </w:p>
    <w:p w:rsidR="001D4B8C" w:rsidRDefault="001D4B8C" w:rsidP="001D4B8C">
      <w:pPr>
        <w:spacing w:after="0" w:line="240" w:lineRule="auto"/>
        <w:rPr>
          <w:rFonts w:asciiTheme="minorHAnsi" w:hAnsiTheme="minorHAnsi"/>
          <w:b/>
          <w:bCs/>
          <w:sz w:val="20"/>
          <w:szCs w:val="20"/>
        </w:rPr>
      </w:pPr>
    </w:p>
    <w:p w:rsidR="001D4B8C" w:rsidRPr="008374DE" w:rsidRDefault="001D4B8C" w:rsidP="001D4B8C">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ON CONSOLIDATED RESULTS </w:t>
      </w:r>
    </w:p>
    <w:p w:rsidR="001D4B8C" w:rsidRDefault="001D4B8C" w:rsidP="001D4B8C">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for </w:t>
      </w:r>
      <w:r w:rsidR="00F920EE" w:rsidRPr="008374DE">
        <w:rPr>
          <w:rFonts w:asciiTheme="minorHAnsi" w:hAnsiTheme="minorHAnsi"/>
          <w:b/>
          <w:bCs/>
          <w:sz w:val="20"/>
          <w:szCs w:val="20"/>
        </w:rPr>
        <w:t xml:space="preserve">the </w:t>
      </w:r>
      <w:r w:rsidR="00F920EE">
        <w:rPr>
          <w:rFonts w:asciiTheme="minorHAnsi" w:hAnsiTheme="minorHAnsi"/>
          <w:b/>
          <w:bCs/>
          <w:sz w:val="20"/>
          <w:szCs w:val="20"/>
        </w:rPr>
        <w:t>Month</w:t>
      </w:r>
      <w:r w:rsidR="00F920EE" w:rsidRPr="008374DE">
        <w:rPr>
          <w:rFonts w:asciiTheme="minorHAnsi" w:hAnsiTheme="minorHAnsi"/>
          <w:b/>
          <w:bCs/>
          <w:sz w:val="20"/>
          <w:szCs w:val="20"/>
        </w:rPr>
        <w:t xml:space="preserve"> Ended </w:t>
      </w:r>
      <w:r w:rsidR="00F920EE">
        <w:rPr>
          <w:rFonts w:asciiTheme="minorHAnsi" w:hAnsiTheme="minorHAnsi"/>
          <w:b/>
          <w:bCs/>
          <w:sz w:val="20"/>
          <w:szCs w:val="20"/>
        </w:rPr>
        <w:t xml:space="preserve">31 July </w:t>
      </w:r>
      <w:r>
        <w:rPr>
          <w:rFonts w:asciiTheme="minorHAnsi" w:hAnsiTheme="minorHAnsi"/>
          <w:b/>
          <w:bCs/>
          <w:sz w:val="20"/>
          <w:szCs w:val="20"/>
        </w:rPr>
        <w:t>201</w:t>
      </w:r>
      <w:r w:rsidR="00C33B1C">
        <w:rPr>
          <w:rFonts w:asciiTheme="minorHAnsi" w:hAnsiTheme="minorHAnsi"/>
          <w:b/>
          <w:bCs/>
          <w:sz w:val="20"/>
          <w:szCs w:val="20"/>
        </w:rPr>
        <w:t>6</w:t>
      </w:r>
    </w:p>
    <w:p w:rsidR="001D4B8C" w:rsidRPr="00AD0637" w:rsidRDefault="001D4B8C" w:rsidP="001D4B8C">
      <w:pPr>
        <w:pStyle w:val="NoSpacing"/>
        <w:jc w:val="both"/>
        <w:rPr>
          <w:rFonts w:asciiTheme="minorHAnsi" w:hAnsiTheme="minorHAnsi"/>
          <w:sz w:val="20"/>
          <w:szCs w:val="20"/>
        </w:rPr>
      </w:pPr>
    </w:p>
    <w:p w:rsidR="001D4B8C" w:rsidRDefault="001D4B8C" w:rsidP="001D4B8C">
      <w:pPr>
        <w:spacing w:after="0" w:line="240" w:lineRule="auto"/>
        <w:ind w:left="720" w:hanging="720"/>
        <w:jc w:val="both"/>
        <w:rPr>
          <w:rFonts w:asciiTheme="minorHAnsi" w:hAnsiTheme="minorHAnsi"/>
          <w:b/>
          <w:bCs/>
          <w:sz w:val="20"/>
          <w:szCs w:val="20"/>
        </w:rPr>
      </w:pPr>
      <w:r w:rsidRPr="008374DE">
        <w:rPr>
          <w:rFonts w:asciiTheme="minorHAnsi" w:hAnsiTheme="minorHAnsi"/>
          <w:b/>
          <w:bCs/>
          <w:sz w:val="20"/>
          <w:szCs w:val="20"/>
        </w:rPr>
        <w:t xml:space="preserve">B: </w:t>
      </w:r>
      <w:r w:rsidRPr="008374DE">
        <w:rPr>
          <w:rFonts w:asciiTheme="minorHAnsi" w:hAnsiTheme="minorHAnsi" w:cs="Times New Roman"/>
          <w:b/>
          <w:bCs/>
          <w:sz w:val="20"/>
          <w:szCs w:val="20"/>
        </w:rPr>
        <w:tab/>
      </w:r>
      <w:r w:rsidRPr="008374DE">
        <w:rPr>
          <w:rFonts w:asciiTheme="minorHAnsi" w:hAnsiTheme="minorHAnsi"/>
          <w:b/>
          <w:bCs/>
          <w:sz w:val="20"/>
          <w:szCs w:val="20"/>
        </w:rPr>
        <w:t>EXPLANATORY NOTES PURSUANT TO APPENDIX 9B OF THE ACE MARKET LISTING REQUIREMENTS OF BURSA SECURITIES</w:t>
      </w:r>
      <w:r>
        <w:rPr>
          <w:rFonts w:asciiTheme="minorHAnsi" w:hAnsiTheme="minorHAnsi"/>
          <w:b/>
          <w:bCs/>
          <w:sz w:val="20"/>
          <w:szCs w:val="20"/>
        </w:rPr>
        <w:t xml:space="preserve"> (CONT’D)</w:t>
      </w:r>
    </w:p>
    <w:p w:rsidR="001D4B8C" w:rsidRDefault="001D4B8C" w:rsidP="001D4B8C">
      <w:pPr>
        <w:spacing w:after="0" w:line="240" w:lineRule="auto"/>
        <w:jc w:val="both"/>
        <w:rPr>
          <w:rFonts w:asciiTheme="minorHAnsi" w:hAnsiTheme="minorHAnsi"/>
          <w:bCs/>
          <w:sz w:val="20"/>
          <w:szCs w:val="20"/>
          <w:lang w:val="en-US"/>
        </w:rPr>
      </w:pPr>
    </w:p>
    <w:p w:rsidR="00C963D2" w:rsidRPr="008374DE" w:rsidRDefault="00C963D2" w:rsidP="00C963D2">
      <w:pPr>
        <w:tabs>
          <w:tab w:val="left" w:pos="8789"/>
        </w:tabs>
        <w:spacing w:after="0" w:line="240" w:lineRule="auto"/>
        <w:ind w:right="-46"/>
        <w:rPr>
          <w:rFonts w:asciiTheme="minorHAnsi" w:hAnsiTheme="minorHAnsi" w:cs="Times New Roman"/>
          <w:b/>
          <w:bCs/>
          <w:sz w:val="20"/>
          <w:szCs w:val="20"/>
        </w:rPr>
      </w:pPr>
      <w:r>
        <w:rPr>
          <w:rFonts w:asciiTheme="minorHAnsi" w:hAnsiTheme="minorHAnsi"/>
          <w:b/>
          <w:bCs/>
          <w:sz w:val="20"/>
          <w:szCs w:val="20"/>
        </w:rPr>
        <w:t>B10</w:t>
      </w:r>
      <w:r w:rsidRPr="008374DE">
        <w:rPr>
          <w:rFonts w:asciiTheme="minorHAnsi" w:hAnsiTheme="minorHAnsi"/>
          <w:b/>
          <w:bCs/>
          <w:sz w:val="20"/>
          <w:szCs w:val="20"/>
        </w:rPr>
        <w:t>. Dividends</w:t>
      </w:r>
    </w:p>
    <w:p w:rsidR="00C963D2" w:rsidRPr="008374DE" w:rsidRDefault="00C963D2" w:rsidP="00C963D2">
      <w:pPr>
        <w:spacing w:after="0" w:line="240" w:lineRule="auto"/>
        <w:rPr>
          <w:rFonts w:asciiTheme="minorHAnsi" w:hAnsiTheme="minorHAnsi" w:cs="Times New Roman"/>
          <w:b/>
          <w:bCs/>
          <w:sz w:val="20"/>
          <w:szCs w:val="20"/>
        </w:rPr>
      </w:pPr>
    </w:p>
    <w:p w:rsidR="00C963D2" w:rsidRPr="008374DE" w:rsidRDefault="00C963D2" w:rsidP="00C963D2">
      <w:pPr>
        <w:spacing w:after="0" w:line="240" w:lineRule="auto"/>
        <w:rPr>
          <w:rFonts w:asciiTheme="minorHAnsi" w:hAnsiTheme="minorHAnsi"/>
          <w:sz w:val="20"/>
          <w:szCs w:val="20"/>
        </w:rPr>
      </w:pPr>
      <w:r w:rsidRPr="008374DE">
        <w:rPr>
          <w:rFonts w:asciiTheme="minorHAnsi" w:hAnsiTheme="minorHAnsi"/>
          <w:sz w:val="20"/>
          <w:szCs w:val="20"/>
        </w:rPr>
        <w:t>The Board of Directors does not recommend any dividends for the current financial quarter under review.</w:t>
      </w:r>
    </w:p>
    <w:p w:rsidR="00C963D2" w:rsidRDefault="00C963D2" w:rsidP="00ED6090">
      <w:pPr>
        <w:spacing w:after="0" w:line="240" w:lineRule="auto"/>
        <w:rPr>
          <w:rFonts w:asciiTheme="minorHAnsi" w:hAnsiTheme="minorHAnsi"/>
          <w:b/>
          <w:bCs/>
          <w:sz w:val="20"/>
          <w:szCs w:val="20"/>
        </w:rPr>
      </w:pPr>
    </w:p>
    <w:p w:rsidR="004A40C0" w:rsidRPr="008374DE" w:rsidRDefault="00785380" w:rsidP="00CB68FB">
      <w:pPr>
        <w:spacing w:after="0" w:line="240" w:lineRule="auto"/>
        <w:rPr>
          <w:rFonts w:asciiTheme="minorHAnsi" w:hAnsiTheme="minorHAnsi"/>
          <w:b/>
          <w:bCs/>
          <w:sz w:val="20"/>
          <w:szCs w:val="20"/>
        </w:rPr>
      </w:pPr>
      <w:r>
        <w:rPr>
          <w:rFonts w:asciiTheme="minorHAnsi" w:hAnsiTheme="minorHAnsi"/>
          <w:b/>
          <w:bCs/>
          <w:sz w:val="20"/>
          <w:szCs w:val="20"/>
        </w:rPr>
        <w:t>B11</w:t>
      </w:r>
      <w:r w:rsidR="004A40C0" w:rsidRPr="008374DE">
        <w:rPr>
          <w:rFonts w:asciiTheme="minorHAnsi" w:hAnsiTheme="minorHAnsi"/>
          <w:b/>
          <w:bCs/>
          <w:sz w:val="20"/>
          <w:szCs w:val="20"/>
        </w:rPr>
        <w:t xml:space="preserve">. Earnings / (loss) per share </w:t>
      </w:r>
    </w:p>
    <w:p w:rsidR="004A40C0" w:rsidRDefault="004A40C0" w:rsidP="00CB68FB">
      <w:pPr>
        <w:spacing w:after="0" w:line="240" w:lineRule="auto"/>
        <w:rPr>
          <w:rFonts w:asciiTheme="minorHAnsi" w:hAnsiTheme="minorHAnsi"/>
          <w:b/>
          <w:bCs/>
          <w:sz w:val="20"/>
          <w:szCs w:val="20"/>
        </w:rPr>
      </w:pPr>
    </w:p>
    <w:p w:rsidR="00DE67D8" w:rsidRDefault="00DE67D8" w:rsidP="00CB68FB">
      <w:pPr>
        <w:spacing w:after="0" w:line="240" w:lineRule="auto"/>
        <w:rPr>
          <w:rFonts w:asciiTheme="minorHAnsi" w:hAnsiTheme="minorHAnsi"/>
          <w:b/>
          <w:bCs/>
          <w:sz w:val="20"/>
          <w:szCs w:val="20"/>
        </w:rPr>
      </w:pPr>
      <w:r>
        <w:rPr>
          <w:rFonts w:asciiTheme="minorHAnsi" w:hAnsiTheme="minorHAnsi"/>
          <w:b/>
          <w:bCs/>
          <w:sz w:val="20"/>
          <w:szCs w:val="20"/>
        </w:rPr>
        <w:t>a) Basic earnings/(loss) per share</w:t>
      </w:r>
    </w:p>
    <w:p w:rsidR="00193E8D" w:rsidRPr="008374DE" w:rsidRDefault="00193E8D" w:rsidP="00CB68FB">
      <w:pPr>
        <w:spacing w:after="0" w:line="240" w:lineRule="auto"/>
        <w:rPr>
          <w:rFonts w:asciiTheme="minorHAnsi" w:hAnsiTheme="minorHAnsi"/>
          <w:b/>
          <w:bCs/>
          <w:sz w:val="20"/>
          <w:szCs w:val="20"/>
        </w:rPr>
      </w:pPr>
    </w:p>
    <w:tbl>
      <w:tblPr>
        <w:tblW w:w="9634" w:type="dxa"/>
        <w:tblLayout w:type="fixed"/>
        <w:tblLook w:val="00A0" w:firstRow="1" w:lastRow="0" w:firstColumn="1" w:lastColumn="0" w:noHBand="0" w:noVBand="0"/>
      </w:tblPr>
      <w:tblGrid>
        <w:gridCol w:w="3539"/>
        <w:gridCol w:w="1523"/>
        <w:gridCol w:w="1524"/>
        <w:gridCol w:w="1524"/>
        <w:gridCol w:w="1524"/>
      </w:tblGrid>
      <w:tr w:rsidR="0025131F" w:rsidRPr="008374DE" w:rsidTr="0088508D">
        <w:trPr>
          <w:trHeight w:val="300"/>
        </w:trPr>
        <w:tc>
          <w:tcPr>
            <w:tcW w:w="3539" w:type="dxa"/>
            <w:tcBorders>
              <w:top w:val="single" w:sz="4" w:space="0" w:color="auto"/>
              <w:left w:val="single" w:sz="4" w:space="0" w:color="auto"/>
              <w:right w:val="single" w:sz="4" w:space="0" w:color="auto"/>
            </w:tcBorders>
            <w:noWrap/>
          </w:tcPr>
          <w:p w:rsidR="004A40C0" w:rsidRPr="008374DE" w:rsidRDefault="004A40C0" w:rsidP="000B46EF">
            <w:pPr>
              <w:spacing w:after="0" w:line="240" w:lineRule="auto"/>
              <w:rPr>
                <w:rFonts w:asciiTheme="minorHAnsi" w:eastAsia="Times New Roman" w:hAnsiTheme="minorHAnsi" w:cs="Times New Roman"/>
                <w:b/>
                <w:bCs/>
                <w:color w:val="000000"/>
                <w:sz w:val="20"/>
                <w:szCs w:val="20"/>
                <w:lang w:val="en-US" w:eastAsia="en-US"/>
              </w:rPr>
            </w:pPr>
          </w:p>
        </w:tc>
        <w:tc>
          <w:tcPr>
            <w:tcW w:w="3047" w:type="dxa"/>
            <w:gridSpan w:val="2"/>
            <w:tcBorders>
              <w:top w:val="single" w:sz="4" w:space="0" w:color="auto"/>
              <w:left w:val="single" w:sz="4" w:space="0" w:color="auto"/>
              <w:bottom w:val="single" w:sz="4" w:space="0" w:color="auto"/>
              <w:right w:val="single" w:sz="4" w:space="0" w:color="auto"/>
            </w:tcBorders>
            <w:noWrap/>
          </w:tcPr>
          <w:p w:rsidR="004A40C0" w:rsidRPr="008374DE" w:rsidRDefault="004A40C0" w:rsidP="00CB68FB">
            <w:pPr>
              <w:spacing w:after="0" w:line="240" w:lineRule="auto"/>
              <w:jc w:val="center"/>
              <w:rPr>
                <w:rFonts w:asciiTheme="minorHAnsi"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val="en-US" w:eastAsia="en-US"/>
              </w:rPr>
              <w:t>Individual Quarter</w:t>
            </w:r>
          </w:p>
        </w:tc>
        <w:tc>
          <w:tcPr>
            <w:tcW w:w="3048" w:type="dxa"/>
            <w:gridSpan w:val="2"/>
            <w:tcBorders>
              <w:top w:val="single" w:sz="4" w:space="0" w:color="auto"/>
              <w:left w:val="single" w:sz="4" w:space="0" w:color="auto"/>
              <w:bottom w:val="single" w:sz="4" w:space="0" w:color="auto"/>
              <w:right w:val="single" w:sz="4" w:space="0" w:color="auto"/>
            </w:tcBorders>
            <w:noWrap/>
          </w:tcPr>
          <w:p w:rsidR="004A40C0" w:rsidRPr="008374DE" w:rsidRDefault="004A40C0" w:rsidP="00CB68FB">
            <w:pPr>
              <w:spacing w:after="0" w:line="240" w:lineRule="auto"/>
              <w:jc w:val="center"/>
              <w:rPr>
                <w:rFonts w:asciiTheme="minorHAnsi"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val="en-US" w:eastAsia="en-US"/>
              </w:rPr>
              <w:t>Cumulative Quarter</w:t>
            </w:r>
          </w:p>
        </w:tc>
      </w:tr>
      <w:tr w:rsidR="00092684" w:rsidRPr="008374DE" w:rsidTr="0088508D">
        <w:trPr>
          <w:trHeight w:val="300"/>
        </w:trPr>
        <w:tc>
          <w:tcPr>
            <w:tcW w:w="3539" w:type="dxa"/>
            <w:tcBorders>
              <w:left w:val="single" w:sz="4" w:space="0" w:color="auto"/>
              <w:right w:val="single" w:sz="4" w:space="0" w:color="auto"/>
            </w:tcBorders>
            <w:noWrap/>
          </w:tcPr>
          <w:p w:rsidR="004A40C0" w:rsidRPr="008374DE" w:rsidRDefault="004A40C0" w:rsidP="000B46EF">
            <w:pPr>
              <w:spacing w:after="0" w:line="240" w:lineRule="auto"/>
              <w:rPr>
                <w:rFonts w:asciiTheme="minorHAnsi" w:eastAsia="Times New Roman" w:hAnsiTheme="minorHAnsi" w:cs="Times New Roman"/>
                <w:b/>
                <w:bCs/>
                <w:color w:val="000000"/>
                <w:sz w:val="20"/>
                <w:szCs w:val="20"/>
                <w:lang w:val="en-US" w:eastAsia="en-US"/>
              </w:rPr>
            </w:pPr>
          </w:p>
        </w:tc>
        <w:tc>
          <w:tcPr>
            <w:tcW w:w="1523" w:type="dxa"/>
            <w:tcBorders>
              <w:left w:val="single" w:sz="4" w:space="0" w:color="auto"/>
            </w:tcBorders>
            <w:noWrap/>
          </w:tcPr>
          <w:p w:rsidR="004A40C0" w:rsidRPr="008374DE" w:rsidRDefault="004A40C0" w:rsidP="000B46EF">
            <w:pPr>
              <w:spacing w:after="0" w:line="240" w:lineRule="auto"/>
              <w:jc w:val="right"/>
              <w:rPr>
                <w:rFonts w:asciiTheme="minorHAnsi" w:eastAsia="Times New Roman" w:hAnsiTheme="minorHAnsi" w:cs="Times New Roman"/>
                <w:b/>
                <w:bCs/>
                <w:color w:val="000000"/>
                <w:sz w:val="20"/>
                <w:szCs w:val="20"/>
                <w:lang w:val="en-US" w:eastAsia="en-US"/>
              </w:rPr>
            </w:pPr>
          </w:p>
        </w:tc>
        <w:tc>
          <w:tcPr>
            <w:tcW w:w="1524" w:type="dxa"/>
            <w:tcBorders>
              <w:right w:val="single" w:sz="4" w:space="0" w:color="auto"/>
            </w:tcBorders>
            <w:noWrap/>
          </w:tcPr>
          <w:p w:rsidR="004A40C0" w:rsidRDefault="004A40C0" w:rsidP="000B46EF">
            <w:pPr>
              <w:spacing w:after="0" w:line="240" w:lineRule="auto"/>
              <w:jc w:val="right"/>
              <w:rPr>
                <w:rFonts w:asciiTheme="minorHAnsi" w:eastAsia="Times New Roman" w:hAnsiTheme="minorHAnsi" w:cs="Times New Roman"/>
                <w:b/>
                <w:bCs/>
                <w:color w:val="000000"/>
                <w:sz w:val="20"/>
                <w:szCs w:val="20"/>
                <w:lang w:eastAsia="en-US"/>
              </w:rPr>
            </w:pPr>
          </w:p>
          <w:p w:rsidR="009C19B9" w:rsidRPr="008374DE" w:rsidRDefault="009C19B9" w:rsidP="000B46EF">
            <w:pPr>
              <w:spacing w:after="0" w:line="240" w:lineRule="auto"/>
              <w:jc w:val="right"/>
              <w:rPr>
                <w:rFonts w:asciiTheme="minorHAnsi" w:eastAsia="Times New Roman" w:hAnsiTheme="minorHAnsi" w:cs="Times New Roman"/>
                <w:b/>
                <w:bCs/>
                <w:color w:val="000000"/>
                <w:sz w:val="20"/>
                <w:szCs w:val="20"/>
                <w:lang w:eastAsia="en-US"/>
              </w:rPr>
            </w:pPr>
            <w:r w:rsidRPr="008374DE">
              <w:rPr>
                <w:rFonts w:asciiTheme="minorHAnsi" w:eastAsia="Times New Roman" w:hAnsiTheme="minorHAnsi" w:cs="Times New Roman"/>
                <w:b/>
                <w:bCs/>
                <w:color w:val="000000"/>
                <w:sz w:val="20"/>
                <w:szCs w:val="20"/>
                <w:lang w:eastAsia="en-US"/>
              </w:rPr>
              <w:t>Preceding</w:t>
            </w:r>
          </w:p>
        </w:tc>
        <w:tc>
          <w:tcPr>
            <w:tcW w:w="1524" w:type="dxa"/>
            <w:tcBorders>
              <w:left w:val="single" w:sz="4" w:space="0" w:color="auto"/>
            </w:tcBorders>
            <w:noWrap/>
          </w:tcPr>
          <w:p w:rsidR="004A40C0" w:rsidRPr="008374DE" w:rsidRDefault="004A40C0" w:rsidP="000B46EF">
            <w:pPr>
              <w:spacing w:after="0" w:line="240" w:lineRule="auto"/>
              <w:jc w:val="right"/>
              <w:rPr>
                <w:rFonts w:asciiTheme="minorHAnsi" w:eastAsia="Times New Roman" w:hAnsiTheme="minorHAnsi" w:cs="Times New Roman"/>
                <w:b/>
                <w:bCs/>
                <w:color w:val="000000"/>
                <w:sz w:val="20"/>
                <w:szCs w:val="20"/>
                <w:lang w:val="en-US" w:eastAsia="en-US"/>
              </w:rPr>
            </w:pPr>
          </w:p>
        </w:tc>
        <w:tc>
          <w:tcPr>
            <w:tcW w:w="1524" w:type="dxa"/>
            <w:tcBorders>
              <w:right w:val="single" w:sz="4" w:space="0" w:color="auto"/>
            </w:tcBorders>
            <w:noWrap/>
          </w:tcPr>
          <w:p w:rsidR="004A40C0" w:rsidRDefault="004A40C0" w:rsidP="000B46EF">
            <w:pPr>
              <w:spacing w:after="0" w:line="240" w:lineRule="auto"/>
              <w:jc w:val="right"/>
              <w:rPr>
                <w:rFonts w:asciiTheme="minorHAnsi" w:eastAsia="Times New Roman" w:hAnsiTheme="minorHAnsi" w:cs="Times New Roman"/>
                <w:b/>
                <w:bCs/>
                <w:color w:val="000000"/>
                <w:sz w:val="20"/>
                <w:szCs w:val="20"/>
                <w:lang w:eastAsia="en-US"/>
              </w:rPr>
            </w:pPr>
            <w:r w:rsidRPr="008374DE">
              <w:rPr>
                <w:rFonts w:asciiTheme="minorHAnsi" w:eastAsia="Times New Roman" w:hAnsiTheme="minorHAnsi" w:cs="Times New Roman"/>
                <w:b/>
                <w:bCs/>
                <w:color w:val="000000"/>
                <w:sz w:val="20"/>
                <w:szCs w:val="20"/>
                <w:lang w:eastAsia="en-US"/>
              </w:rPr>
              <w:t>Preceding</w:t>
            </w:r>
          </w:p>
          <w:p w:rsidR="009C19B9" w:rsidRPr="008374DE" w:rsidRDefault="0069183A" w:rsidP="0069183A">
            <w:pPr>
              <w:spacing w:after="0" w:line="240" w:lineRule="auto"/>
              <w:jc w:val="right"/>
              <w:rPr>
                <w:rFonts w:asciiTheme="minorHAnsi" w:eastAsia="Times New Roman" w:hAnsiTheme="minorHAnsi" w:cs="Times New Roman"/>
                <w:b/>
                <w:bCs/>
                <w:color w:val="000000"/>
                <w:sz w:val="20"/>
                <w:szCs w:val="20"/>
                <w:lang w:eastAsia="en-US"/>
              </w:rPr>
            </w:pPr>
            <w:r>
              <w:rPr>
                <w:rFonts w:asciiTheme="minorHAnsi" w:eastAsia="Times New Roman" w:hAnsiTheme="minorHAnsi" w:cs="Times New Roman"/>
                <w:b/>
                <w:bCs/>
                <w:color w:val="000000"/>
                <w:sz w:val="20"/>
                <w:szCs w:val="20"/>
                <w:lang w:eastAsia="en-US"/>
              </w:rPr>
              <w:t>3</w:t>
            </w:r>
            <w:r w:rsidR="009C19B9">
              <w:rPr>
                <w:rFonts w:asciiTheme="minorHAnsi" w:eastAsia="Times New Roman" w:hAnsiTheme="minorHAnsi" w:cs="Times New Roman"/>
                <w:b/>
                <w:bCs/>
                <w:color w:val="000000"/>
                <w:sz w:val="20"/>
                <w:szCs w:val="20"/>
                <w:lang w:eastAsia="en-US"/>
              </w:rPr>
              <w:t xml:space="preserve"> Months</w:t>
            </w:r>
          </w:p>
        </w:tc>
      </w:tr>
      <w:tr w:rsidR="00092684" w:rsidRPr="008374DE" w:rsidTr="0088508D">
        <w:trPr>
          <w:trHeight w:val="315"/>
        </w:trPr>
        <w:tc>
          <w:tcPr>
            <w:tcW w:w="3539" w:type="dxa"/>
            <w:tcBorders>
              <w:left w:val="single" w:sz="4" w:space="0" w:color="auto"/>
              <w:right w:val="single" w:sz="4" w:space="0" w:color="auto"/>
            </w:tcBorders>
            <w:noWrap/>
          </w:tcPr>
          <w:p w:rsidR="004A40C0" w:rsidRPr="008374DE" w:rsidRDefault="004A40C0" w:rsidP="000B46EF">
            <w:pPr>
              <w:spacing w:after="0" w:line="240" w:lineRule="auto"/>
              <w:rPr>
                <w:rFonts w:asciiTheme="minorHAnsi" w:eastAsia="Times New Roman" w:hAnsiTheme="minorHAnsi" w:cs="Times New Roman"/>
                <w:b/>
                <w:bCs/>
                <w:color w:val="000000"/>
                <w:sz w:val="20"/>
                <w:szCs w:val="20"/>
                <w:lang w:val="en-US" w:eastAsia="en-US"/>
              </w:rPr>
            </w:pPr>
          </w:p>
        </w:tc>
        <w:tc>
          <w:tcPr>
            <w:tcW w:w="1523" w:type="dxa"/>
            <w:tcBorders>
              <w:left w:val="single" w:sz="4" w:space="0" w:color="auto"/>
            </w:tcBorders>
            <w:noWrap/>
          </w:tcPr>
          <w:p w:rsidR="004A40C0" w:rsidRPr="008374DE" w:rsidRDefault="004A40C0" w:rsidP="000B46EF">
            <w:pPr>
              <w:spacing w:after="0" w:line="240" w:lineRule="auto"/>
              <w:jc w:val="right"/>
              <w:rPr>
                <w:rFonts w:asciiTheme="minorHAnsi" w:eastAsia="Times New Roman" w:hAnsiTheme="minorHAnsi" w:cs="Times New Roman"/>
                <w:b/>
                <w:bCs/>
                <w:color w:val="000000"/>
                <w:sz w:val="20"/>
                <w:szCs w:val="20"/>
                <w:lang w:eastAsia="en-US"/>
              </w:rPr>
            </w:pPr>
            <w:r w:rsidRPr="008374DE">
              <w:rPr>
                <w:rFonts w:asciiTheme="minorHAnsi" w:eastAsia="Times New Roman" w:hAnsiTheme="minorHAnsi" w:cs="Times New Roman"/>
                <w:b/>
                <w:bCs/>
                <w:color w:val="000000"/>
                <w:sz w:val="20"/>
                <w:szCs w:val="20"/>
                <w:lang w:eastAsia="en-US"/>
              </w:rPr>
              <w:t xml:space="preserve">Current </w:t>
            </w:r>
          </w:p>
          <w:p w:rsidR="004A40C0" w:rsidRPr="008374DE" w:rsidRDefault="004A40C0" w:rsidP="000B46EF">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eastAsia="en-US"/>
              </w:rPr>
              <w:t>Quarter</w:t>
            </w:r>
          </w:p>
        </w:tc>
        <w:tc>
          <w:tcPr>
            <w:tcW w:w="1524" w:type="dxa"/>
            <w:tcBorders>
              <w:right w:val="single" w:sz="4" w:space="0" w:color="auto"/>
            </w:tcBorders>
            <w:noWrap/>
          </w:tcPr>
          <w:p w:rsidR="004A40C0" w:rsidRPr="008374DE" w:rsidRDefault="004A40C0" w:rsidP="000B46EF">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eastAsia="en-US"/>
              </w:rPr>
              <w:t>Corresponding Quarter</w:t>
            </w:r>
          </w:p>
        </w:tc>
        <w:tc>
          <w:tcPr>
            <w:tcW w:w="1524" w:type="dxa"/>
            <w:tcBorders>
              <w:left w:val="single" w:sz="4" w:space="0" w:color="auto"/>
            </w:tcBorders>
            <w:noWrap/>
          </w:tcPr>
          <w:p w:rsidR="004A40C0" w:rsidRPr="008374DE" w:rsidRDefault="00761790" w:rsidP="000B46EF">
            <w:pPr>
              <w:spacing w:after="0" w:line="240" w:lineRule="auto"/>
              <w:jc w:val="right"/>
              <w:rPr>
                <w:rFonts w:asciiTheme="minorHAnsi" w:eastAsia="Times New Roman" w:hAnsiTheme="minorHAnsi" w:cs="Times New Roman"/>
                <w:b/>
                <w:bCs/>
                <w:color w:val="000000"/>
                <w:sz w:val="20"/>
                <w:szCs w:val="20"/>
                <w:lang w:eastAsia="en-US"/>
              </w:rPr>
            </w:pPr>
            <w:r>
              <w:rPr>
                <w:rFonts w:asciiTheme="minorHAnsi" w:eastAsia="Times New Roman" w:hAnsiTheme="minorHAnsi" w:cs="Times New Roman"/>
                <w:b/>
                <w:bCs/>
                <w:color w:val="000000"/>
                <w:sz w:val="20"/>
                <w:szCs w:val="20"/>
                <w:lang w:eastAsia="en-US"/>
              </w:rPr>
              <w:t>1</w:t>
            </w:r>
            <w:r w:rsidR="0069183A">
              <w:rPr>
                <w:rFonts w:asciiTheme="minorHAnsi" w:eastAsia="Times New Roman" w:hAnsiTheme="minorHAnsi" w:cs="Times New Roman"/>
                <w:b/>
                <w:bCs/>
                <w:color w:val="000000"/>
                <w:sz w:val="20"/>
                <w:szCs w:val="20"/>
                <w:lang w:eastAsia="en-US"/>
              </w:rPr>
              <w:t>5</w:t>
            </w:r>
            <w:r w:rsidR="001C713B">
              <w:rPr>
                <w:rFonts w:asciiTheme="minorHAnsi" w:eastAsia="Times New Roman" w:hAnsiTheme="minorHAnsi" w:cs="Times New Roman"/>
                <w:b/>
                <w:bCs/>
                <w:color w:val="000000"/>
                <w:sz w:val="20"/>
                <w:szCs w:val="20"/>
                <w:lang w:eastAsia="en-US"/>
              </w:rPr>
              <w:t xml:space="preserve"> Months </w:t>
            </w:r>
          </w:p>
          <w:p w:rsidR="004A40C0" w:rsidRPr="008374DE" w:rsidRDefault="002B318F" w:rsidP="000B46EF">
            <w:pPr>
              <w:spacing w:after="0" w:line="240" w:lineRule="auto"/>
              <w:jc w:val="right"/>
              <w:rPr>
                <w:rFonts w:asciiTheme="minorHAnsi" w:eastAsia="Times New Roman" w:hAnsiTheme="minorHAnsi" w:cs="Times New Roman"/>
                <w:b/>
                <w:bCs/>
                <w:color w:val="000000"/>
                <w:sz w:val="20"/>
                <w:szCs w:val="20"/>
                <w:lang w:val="en-US" w:eastAsia="en-US"/>
              </w:rPr>
            </w:pPr>
            <w:r>
              <w:rPr>
                <w:rFonts w:asciiTheme="minorHAnsi" w:eastAsia="Times New Roman" w:hAnsiTheme="minorHAnsi" w:cs="Times New Roman"/>
                <w:b/>
                <w:bCs/>
                <w:color w:val="000000"/>
                <w:sz w:val="20"/>
                <w:szCs w:val="20"/>
                <w:lang w:eastAsia="en-US"/>
              </w:rPr>
              <w:t>t</w:t>
            </w:r>
            <w:r w:rsidR="007909BE" w:rsidRPr="008374DE">
              <w:rPr>
                <w:rFonts w:asciiTheme="minorHAnsi" w:eastAsia="Times New Roman" w:hAnsiTheme="minorHAnsi" w:cs="Times New Roman"/>
                <w:b/>
                <w:bCs/>
                <w:color w:val="000000"/>
                <w:sz w:val="20"/>
                <w:szCs w:val="20"/>
                <w:lang w:eastAsia="en-US"/>
              </w:rPr>
              <w:t>o date</w:t>
            </w:r>
          </w:p>
        </w:tc>
        <w:tc>
          <w:tcPr>
            <w:tcW w:w="1524" w:type="dxa"/>
            <w:tcBorders>
              <w:right w:val="single" w:sz="4" w:space="0" w:color="auto"/>
            </w:tcBorders>
            <w:noWrap/>
          </w:tcPr>
          <w:p w:rsidR="004A40C0" w:rsidRPr="008374DE" w:rsidRDefault="004A40C0" w:rsidP="009C19B9">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eastAsia="en-US"/>
              </w:rPr>
              <w:t xml:space="preserve">Corresponding </w:t>
            </w:r>
            <w:r w:rsidR="009C19B9">
              <w:rPr>
                <w:rFonts w:asciiTheme="minorHAnsi" w:eastAsia="Times New Roman" w:hAnsiTheme="minorHAnsi" w:cs="Times New Roman"/>
                <w:b/>
                <w:bCs/>
                <w:color w:val="000000"/>
                <w:sz w:val="20"/>
                <w:szCs w:val="20"/>
                <w:lang w:eastAsia="en-US"/>
              </w:rPr>
              <w:t>Period</w:t>
            </w:r>
          </w:p>
        </w:tc>
      </w:tr>
      <w:tr w:rsidR="00092684" w:rsidRPr="008374DE" w:rsidTr="0088508D">
        <w:trPr>
          <w:trHeight w:val="300"/>
        </w:trPr>
        <w:tc>
          <w:tcPr>
            <w:tcW w:w="3539" w:type="dxa"/>
            <w:tcBorders>
              <w:left w:val="single" w:sz="4" w:space="0" w:color="auto"/>
              <w:right w:val="single" w:sz="4" w:space="0" w:color="auto"/>
            </w:tcBorders>
            <w:noWrap/>
          </w:tcPr>
          <w:p w:rsidR="004A40C0" w:rsidRPr="008374DE" w:rsidRDefault="004A40C0" w:rsidP="000B46EF">
            <w:pPr>
              <w:spacing w:after="0" w:line="240" w:lineRule="auto"/>
              <w:rPr>
                <w:rFonts w:asciiTheme="minorHAnsi" w:eastAsia="Times New Roman" w:hAnsiTheme="minorHAnsi" w:cs="Times New Roman"/>
                <w:b/>
                <w:bCs/>
                <w:color w:val="000000"/>
                <w:sz w:val="20"/>
                <w:szCs w:val="20"/>
                <w:lang w:val="en-US" w:eastAsia="en-US"/>
              </w:rPr>
            </w:pPr>
          </w:p>
        </w:tc>
        <w:tc>
          <w:tcPr>
            <w:tcW w:w="1523" w:type="dxa"/>
            <w:tcBorders>
              <w:left w:val="single" w:sz="4" w:space="0" w:color="auto"/>
            </w:tcBorders>
            <w:noWrap/>
          </w:tcPr>
          <w:p w:rsidR="004A40C0" w:rsidRPr="008374DE" w:rsidRDefault="004A40C0" w:rsidP="000B46EF">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eastAsia="en-US"/>
              </w:rPr>
              <w:t>Ended</w:t>
            </w:r>
          </w:p>
        </w:tc>
        <w:tc>
          <w:tcPr>
            <w:tcW w:w="1524" w:type="dxa"/>
            <w:tcBorders>
              <w:right w:val="single" w:sz="4" w:space="0" w:color="auto"/>
            </w:tcBorders>
            <w:noWrap/>
          </w:tcPr>
          <w:p w:rsidR="004A40C0" w:rsidRPr="008374DE" w:rsidRDefault="004A40C0" w:rsidP="000B46EF">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eastAsia="en-US"/>
              </w:rPr>
              <w:t>Ended</w:t>
            </w:r>
          </w:p>
        </w:tc>
        <w:tc>
          <w:tcPr>
            <w:tcW w:w="1524" w:type="dxa"/>
            <w:tcBorders>
              <w:left w:val="single" w:sz="4" w:space="0" w:color="auto"/>
            </w:tcBorders>
            <w:noWrap/>
          </w:tcPr>
          <w:p w:rsidR="004A40C0" w:rsidRPr="008374DE" w:rsidRDefault="004A40C0" w:rsidP="000B46EF">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eastAsia="en-US"/>
              </w:rPr>
              <w:t xml:space="preserve">ended </w:t>
            </w:r>
          </w:p>
        </w:tc>
        <w:tc>
          <w:tcPr>
            <w:tcW w:w="1524" w:type="dxa"/>
            <w:tcBorders>
              <w:right w:val="single" w:sz="4" w:space="0" w:color="auto"/>
            </w:tcBorders>
            <w:noWrap/>
          </w:tcPr>
          <w:p w:rsidR="004A40C0" w:rsidRPr="008374DE" w:rsidRDefault="004A40C0" w:rsidP="000B46EF">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eastAsia="en-US"/>
              </w:rPr>
              <w:t>To date ended</w:t>
            </w:r>
          </w:p>
        </w:tc>
      </w:tr>
      <w:tr w:rsidR="00092684" w:rsidRPr="008374DE" w:rsidTr="0088508D">
        <w:tblPrEx>
          <w:tblBorders>
            <w:top w:val="single" w:sz="4" w:space="0" w:color="auto"/>
            <w:left w:val="single" w:sz="4" w:space="0" w:color="auto"/>
            <w:bottom w:val="single" w:sz="4" w:space="0" w:color="auto"/>
            <w:right w:val="single" w:sz="4" w:space="0" w:color="auto"/>
          </w:tblBorders>
        </w:tblPrEx>
        <w:trPr>
          <w:trHeight w:val="300"/>
        </w:trPr>
        <w:tc>
          <w:tcPr>
            <w:tcW w:w="3539" w:type="dxa"/>
            <w:tcBorders>
              <w:top w:val="nil"/>
              <w:bottom w:val="single" w:sz="4" w:space="0" w:color="auto"/>
              <w:right w:val="single" w:sz="4" w:space="0" w:color="auto"/>
            </w:tcBorders>
            <w:noWrap/>
          </w:tcPr>
          <w:p w:rsidR="004A40C0" w:rsidRPr="008374DE" w:rsidRDefault="004A40C0" w:rsidP="000B46EF">
            <w:pPr>
              <w:spacing w:after="0" w:line="240" w:lineRule="auto"/>
              <w:rPr>
                <w:rFonts w:asciiTheme="minorHAnsi" w:eastAsia="Times New Roman" w:hAnsiTheme="minorHAnsi" w:cs="Times New Roman"/>
                <w:b/>
                <w:bCs/>
                <w:color w:val="000000"/>
                <w:sz w:val="20"/>
                <w:szCs w:val="20"/>
                <w:lang w:val="en-US" w:eastAsia="en-US"/>
              </w:rPr>
            </w:pPr>
          </w:p>
        </w:tc>
        <w:tc>
          <w:tcPr>
            <w:tcW w:w="1523" w:type="dxa"/>
            <w:tcBorders>
              <w:top w:val="nil"/>
              <w:left w:val="single" w:sz="4" w:space="0" w:color="auto"/>
              <w:bottom w:val="single" w:sz="4" w:space="0" w:color="auto"/>
            </w:tcBorders>
            <w:noWrap/>
          </w:tcPr>
          <w:p w:rsidR="004A40C0" w:rsidRPr="008374DE" w:rsidRDefault="001E6FD5" w:rsidP="00F920EE">
            <w:pPr>
              <w:spacing w:after="0" w:line="240" w:lineRule="auto"/>
              <w:jc w:val="right"/>
              <w:rPr>
                <w:rFonts w:asciiTheme="minorHAnsi" w:eastAsia="Times New Roman" w:hAnsiTheme="minorHAnsi" w:cs="Times New Roman"/>
                <w:b/>
                <w:bCs/>
                <w:color w:val="000000"/>
                <w:sz w:val="20"/>
                <w:szCs w:val="20"/>
                <w:lang w:val="en-US" w:eastAsia="en-US"/>
              </w:rPr>
            </w:pPr>
            <w:r>
              <w:rPr>
                <w:rFonts w:asciiTheme="minorHAnsi" w:eastAsia="Times New Roman" w:hAnsiTheme="minorHAnsi" w:cs="Times New Roman"/>
                <w:b/>
                <w:bCs/>
                <w:color w:val="000000"/>
                <w:sz w:val="20"/>
                <w:szCs w:val="20"/>
                <w:lang w:eastAsia="en-US"/>
              </w:rPr>
              <w:t>3</w:t>
            </w:r>
            <w:r w:rsidR="00F920EE">
              <w:rPr>
                <w:rFonts w:asciiTheme="minorHAnsi" w:eastAsia="Times New Roman" w:hAnsiTheme="minorHAnsi" w:cs="Times New Roman"/>
                <w:b/>
                <w:bCs/>
                <w:color w:val="000000"/>
                <w:sz w:val="20"/>
                <w:szCs w:val="20"/>
                <w:lang w:eastAsia="en-US"/>
              </w:rPr>
              <w:t xml:space="preserve">1 </w:t>
            </w:r>
            <w:r w:rsidR="0069183A">
              <w:rPr>
                <w:rFonts w:asciiTheme="minorHAnsi" w:eastAsia="Times New Roman" w:hAnsiTheme="minorHAnsi" w:cs="Times New Roman"/>
                <w:b/>
                <w:bCs/>
                <w:color w:val="000000"/>
                <w:sz w:val="20"/>
                <w:szCs w:val="20"/>
                <w:lang w:eastAsia="en-US"/>
              </w:rPr>
              <w:t>Ju</w:t>
            </w:r>
            <w:r w:rsidR="00F920EE">
              <w:rPr>
                <w:rFonts w:asciiTheme="minorHAnsi" w:eastAsia="Times New Roman" w:hAnsiTheme="minorHAnsi" w:cs="Times New Roman"/>
                <w:b/>
                <w:bCs/>
                <w:color w:val="000000"/>
                <w:sz w:val="20"/>
                <w:szCs w:val="20"/>
                <w:lang w:eastAsia="en-US"/>
              </w:rPr>
              <w:t>ly</w:t>
            </w:r>
            <w:r>
              <w:rPr>
                <w:rFonts w:asciiTheme="minorHAnsi" w:eastAsia="Times New Roman" w:hAnsiTheme="minorHAnsi" w:cs="Times New Roman"/>
                <w:b/>
                <w:bCs/>
                <w:color w:val="000000"/>
                <w:sz w:val="20"/>
                <w:szCs w:val="20"/>
                <w:lang w:eastAsia="en-US"/>
              </w:rPr>
              <w:t xml:space="preserve"> 201</w:t>
            </w:r>
            <w:r w:rsidR="00761790">
              <w:rPr>
                <w:rFonts w:asciiTheme="minorHAnsi" w:eastAsia="Times New Roman" w:hAnsiTheme="minorHAnsi" w:cs="Times New Roman"/>
                <w:b/>
                <w:bCs/>
                <w:color w:val="000000"/>
                <w:sz w:val="20"/>
                <w:szCs w:val="20"/>
                <w:lang w:eastAsia="en-US"/>
              </w:rPr>
              <w:t>6</w:t>
            </w:r>
          </w:p>
        </w:tc>
        <w:tc>
          <w:tcPr>
            <w:tcW w:w="1524" w:type="dxa"/>
            <w:tcBorders>
              <w:top w:val="nil"/>
              <w:bottom w:val="single" w:sz="4" w:space="0" w:color="auto"/>
              <w:right w:val="single" w:sz="4" w:space="0" w:color="auto"/>
            </w:tcBorders>
            <w:noWrap/>
          </w:tcPr>
          <w:p w:rsidR="004A40C0" w:rsidRPr="008374DE" w:rsidRDefault="009A6796" w:rsidP="0069183A">
            <w:pPr>
              <w:spacing w:after="0" w:line="240" w:lineRule="auto"/>
              <w:jc w:val="right"/>
              <w:rPr>
                <w:rFonts w:asciiTheme="minorHAnsi" w:eastAsia="Times New Roman" w:hAnsiTheme="minorHAnsi" w:cs="Times New Roman"/>
                <w:b/>
                <w:bCs/>
                <w:color w:val="000000"/>
                <w:sz w:val="20"/>
                <w:szCs w:val="20"/>
                <w:lang w:val="en-US" w:eastAsia="en-US"/>
              </w:rPr>
            </w:pPr>
            <w:r>
              <w:rPr>
                <w:rFonts w:asciiTheme="minorHAnsi" w:eastAsia="Times New Roman" w:hAnsiTheme="minorHAnsi" w:cs="Times New Roman"/>
                <w:b/>
                <w:bCs/>
                <w:color w:val="000000"/>
                <w:sz w:val="20"/>
                <w:szCs w:val="20"/>
                <w:lang w:eastAsia="en-US"/>
              </w:rPr>
              <w:t>31 July 2015</w:t>
            </w:r>
          </w:p>
        </w:tc>
        <w:tc>
          <w:tcPr>
            <w:tcW w:w="1524" w:type="dxa"/>
            <w:tcBorders>
              <w:top w:val="nil"/>
              <w:left w:val="single" w:sz="4" w:space="0" w:color="auto"/>
              <w:bottom w:val="single" w:sz="4" w:space="0" w:color="auto"/>
            </w:tcBorders>
            <w:noWrap/>
          </w:tcPr>
          <w:p w:rsidR="004A40C0" w:rsidRPr="008374DE" w:rsidRDefault="0069183A" w:rsidP="00F920EE">
            <w:pPr>
              <w:spacing w:after="0" w:line="240" w:lineRule="auto"/>
              <w:jc w:val="right"/>
              <w:rPr>
                <w:rFonts w:asciiTheme="minorHAnsi" w:eastAsia="Times New Roman" w:hAnsiTheme="minorHAnsi" w:cs="Times New Roman"/>
                <w:b/>
                <w:bCs/>
                <w:color w:val="000000"/>
                <w:sz w:val="20"/>
                <w:szCs w:val="20"/>
                <w:lang w:val="en-US" w:eastAsia="en-US"/>
              </w:rPr>
            </w:pPr>
            <w:r w:rsidRPr="008374DE">
              <w:rPr>
                <w:rFonts w:asciiTheme="minorHAnsi" w:eastAsia="Times New Roman" w:hAnsiTheme="minorHAnsi" w:cs="Times New Roman"/>
                <w:b/>
                <w:bCs/>
                <w:color w:val="000000"/>
                <w:sz w:val="20"/>
                <w:szCs w:val="20"/>
                <w:lang w:eastAsia="en-US"/>
              </w:rPr>
              <w:t>3</w:t>
            </w:r>
            <w:r w:rsidR="00F920EE">
              <w:rPr>
                <w:rFonts w:asciiTheme="minorHAnsi" w:eastAsia="Times New Roman" w:hAnsiTheme="minorHAnsi" w:cs="Times New Roman"/>
                <w:b/>
                <w:bCs/>
                <w:color w:val="000000"/>
                <w:sz w:val="20"/>
                <w:szCs w:val="20"/>
                <w:lang w:eastAsia="en-US"/>
              </w:rPr>
              <w:t xml:space="preserve">1 </w:t>
            </w:r>
            <w:r>
              <w:rPr>
                <w:rFonts w:asciiTheme="minorHAnsi" w:eastAsia="Times New Roman" w:hAnsiTheme="minorHAnsi" w:cs="Times New Roman"/>
                <w:b/>
                <w:bCs/>
                <w:color w:val="000000"/>
                <w:sz w:val="20"/>
                <w:szCs w:val="20"/>
                <w:lang w:eastAsia="en-US"/>
              </w:rPr>
              <w:t>Ju</w:t>
            </w:r>
            <w:r w:rsidR="00F920EE">
              <w:rPr>
                <w:rFonts w:asciiTheme="minorHAnsi" w:eastAsia="Times New Roman" w:hAnsiTheme="minorHAnsi" w:cs="Times New Roman"/>
                <w:b/>
                <w:bCs/>
                <w:color w:val="000000"/>
                <w:sz w:val="20"/>
                <w:szCs w:val="20"/>
                <w:lang w:eastAsia="en-US"/>
              </w:rPr>
              <w:t>ly</w:t>
            </w:r>
            <w:r>
              <w:rPr>
                <w:rFonts w:asciiTheme="minorHAnsi" w:eastAsia="Times New Roman" w:hAnsiTheme="minorHAnsi" w:cs="Times New Roman"/>
                <w:b/>
                <w:bCs/>
                <w:color w:val="000000"/>
                <w:sz w:val="20"/>
                <w:szCs w:val="20"/>
                <w:lang w:eastAsia="en-US"/>
              </w:rPr>
              <w:t xml:space="preserve"> </w:t>
            </w:r>
            <w:r w:rsidR="001E6FD5">
              <w:rPr>
                <w:rFonts w:asciiTheme="minorHAnsi" w:eastAsia="Times New Roman" w:hAnsiTheme="minorHAnsi" w:cs="Times New Roman"/>
                <w:b/>
                <w:bCs/>
                <w:color w:val="000000"/>
                <w:sz w:val="20"/>
                <w:szCs w:val="20"/>
                <w:lang w:eastAsia="en-US"/>
              </w:rPr>
              <w:t>201</w:t>
            </w:r>
            <w:r w:rsidR="00F84980">
              <w:rPr>
                <w:rFonts w:asciiTheme="minorHAnsi" w:eastAsia="Times New Roman" w:hAnsiTheme="minorHAnsi" w:cs="Times New Roman"/>
                <w:b/>
                <w:bCs/>
                <w:color w:val="000000"/>
                <w:sz w:val="20"/>
                <w:szCs w:val="20"/>
                <w:lang w:eastAsia="en-US"/>
              </w:rPr>
              <w:t>6</w:t>
            </w:r>
          </w:p>
        </w:tc>
        <w:tc>
          <w:tcPr>
            <w:tcW w:w="1524" w:type="dxa"/>
            <w:tcBorders>
              <w:top w:val="nil"/>
              <w:bottom w:val="single" w:sz="4" w:space="0" w:color="auto"/>
            </w:tcBorders>
            <w:noWrap/>
          </w:tcPr>
          <w:p w:rsidR="004A40C0" w:rsidRPr="008374DE" w:rsidRDefault="009A6796" w:rsidP="00F84980">
            <w:pPr>
              <w:spacing w:after="0" w:line="240" w:lineRule="auto"/>
              <w:jc w:val="right"/>
              <w:rPr>
                <w:rFonts w:asciiTheme="minorHAnsi" w:eastAsia="Times New Roman" w:hAnsiTheme="minorHAnsi" w:cs="Times New Roman"/>
                <w:b/>
                <w:bCs/>
                <w:color w:val="000000"/>
                <w:sz w:val="20"/>
                <w:szCs w:val="20"/>
                <w:lang w:val="en-US" w:eastAsia="en-US"/>
              </w:rPr>
            </w:pPr>
            <w:r>
              <w:rPr>
                <w:rFonts w:asciiTheme="minorHAnsi" w:eastAsia="Times New Roman" w:hAnsiTheme="minorHAnsi" w:cs="Times New Roman"/>
                <w:b/>
                <w:bCs/>
                <w:color w:val="000000"/>
                <w:sz w:val="20"/>
                <w:szCs w:val="20"/>
                <w:lang w:eastAsia="en-US"/>
              </w:rPr>
              <w:t>31 July 2015</w:t>
            </w:r>
          </w:p>
        </w:tc>
      </w:tr>
      <w:tr w:rsidR="00F920EE" w:rsidRPr="008374DE" w:rsidTr="002505E4">
        <w:trPr>
          <w:trHeight w:val="315"/>
        </w:trPr>
        <w:tc>
          <w:tcPr>
            <w:tcW w:w="3539" w:type="dxa"/>
            <w:tcBorders>
              <w:left w:val="single" w:sz="4" w:space="0" w:color="auto"/>
              <w:right w:val="single" w:sz="4" w:space="0" w:color="auto"/>
            </w:tcBorders>
            <w:noWrap/>
          </w:tcPr>
          <w:p w:rsidR="00F920EE" w:rsidRPr="008374DE" w:rsidRDefault="00F920EE" w:rsidP="000B46EF">
            <w:pPr>
              <w:spacing w:after="0" w:line="240" w:lineRule="auto"/>
              <w:rPr>
                <w:rFonts w:asciiTheme="minorHAnsi" w:eastAsia="Times New Roman" w:hAnsiTheme="minorHAnsi" w:cs="Times New Roman"/>
                <w:color w:val="000000"/>
                <w:sz w:val="20"/>
                <w:szCs w:val="20"/>
                <w:lang w:val="en-US" w:eastAsia="en-US"/>
              </w:rPr>
            </w:pPr>
            <w:r w:rsidRPr="008153B3">
              <w:rPr>
                <w:rFonts w:asciiTheme="minorHAnsi" w:eastAsia="Times New Roman" w:hAnsiTheme="minorHAnsi" w:cs="Times New Roman"/>
                <w:color w:val="000000"/>
                <w:sz w:val="20"/>
                <w:szCs w:val="20"/>
                <w:lang w:val="en-US" w:eastAsia="en-US"/>
              </w:rPr>
              <w:t>Net profit/(loss) attributable to ordinary equity holders of the Company (RM’000</w:t>
            </w:r>
            <w:r>
              <w:rPr>
                <w:rFonts w:asciiTheme="minorHAnsi" w:eastAsia="Times New Roman" w:hAnsiTheme="minorHAnsi" w:cs="Times New Roman"/>
                <w:color w:val="000000"/>
                <w:sz w:val="20"/>
                <w:szCs w:val="20"/>
                <w:lang w:val="en-US" w:eastAsia="en-US"/>
              </w:rPr>
              <w:t>)</w:t>
            </w:r>
          </w:p>
        </w:tc>
        <w:tc>
          <w:tcPr>
            <w:tcW w:w="1523" w:type="dxa"/>
            <w:tcBorders>
              <w:left w:val="single" w:sz="4" w:space="0" w:color="auto"/>
            </w:tcBorders>
            <w:noWrap/>
            <w:vAlign w:val="bottom"/>
          </w:tcPr>
          <w:p w:rsidR="00F920EE" w:rsidRPr="00F920EE" w:rsidRDefault="00F920EE" w:rsidP="009A6796">
            <w:pPr>
              <w:spacing w:after="0" w:line="240" w:lineRule="auto"/>
              <w:jc w:val="right"/>
              <w:rPr>
                <w:rFonts w:asciiTheme="minorHAnsi" w:hAnsiTheme="minorHAnsi" w:cstheme="minorHAnsi"/>
                <w:color w:val="000000"/>
                <w:sz w:val="20"/>
                <w:szCs w:val="20"/>
              </w:rPr>
            </w:pPr>
            <w:r w:rsidRPr="00F920EE">
              <w:rPr>
                <w:rFonts w:asciiTheme="minorHAnsi" w:hAnsiTheme="minorHAnsi" w:cstheme="minorHAnsi"/>
                <w:color w:val="000000"/>
                <w:sz w:val="20"/>
                <w:szCs w:val="20"/>
              </w:rPr>
              <w:t xml:space="preserve">(409)   </w:t>
            </w:r>
          </w:p>
        </w:tc>
        <w:tc>
          <w:tcPr>
            <w:tcW w:w="1524" w:type="dxa"/>
            <w:tcBorders>
              <w:right w:val="single" w:sz="4" w:space="0" w:color="auto"/>
            </w:tcBorders>
            <w:noWrap/>
            <w:vAlign w:val="bottom"/>
          </w:tcPr>
          <w:p w:rsidR="00F920EE" w:rsidRPr="00F920EE" w:rsidRDefault="009A6796" w:rsidP="009A6796">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524" w:type="dxa"/>
            <w:tcBorders>
              <w:left w:val="single" w:sz="4" w:space="0" w:color="auto"/>
            </w:tcBorders>
            <w:noWrap/>
            <w:vAlign w:val="bottom"/>
          </w:tcPr>
          <w:p w:rsidR="00F920EE" w:rsidRPr="00F920EE" w:rsidRDefault="00F920EE" w:rsidP="009A6796">
            <w:pPr>
              <w:spacing w:after="0" w:line="240" w:lineRule="auto"/>
              <w:jc w:val="right"/>
              <w:rPr>
                <w:rFonts w:asciiTheme="minorHAnsi" w:hAnsiTheme="minorHAnsi" w:cstheme="minorHAnsi"/>
                <w:color w:val="000000"/>
                <w:sz w:val="20"/>
                <w:szCs w:val="20"/>
              </w:rPr>
            </w:pPr>
            <w:r w:rsidRPr="00F920EE">
              <w:rPr>
                <w:rFonts w:asciiTheme="minorHAnsi" w:hAnsiTheme="minorHAnsi" w:cstheme="minorHAnsi"/>
                <w:color w:val="000000"/>
                <w:sz w:val="20"/>
                <w:szCs w:val="20"/>
              </w:rPr>
              <w:t>(11,137)</w:t>
            </w:r>
          </w:p>
        </w:tc>
        <w:tc>
          <w:tcPr>
            <w:tcW w:w="1524" w:type="dxa"/>
            <w:tcBorders>
              <w:right w:val="single" w:sz="4" w:space="0" w:color="auto"/>
            </w:tcBorders>
            <w:noWrap/>
            <w:vAlign w:val="bottom"/>
          </w:tcPr>
          <w:p w:rsidR="00F920EE" w:rsidRPr="00F920EE" w:rsidRDefault="00F920EE" w:rsidP="009A6796">
            <w:pPr>
              <w:spacing w:after="0" w:line="240" w:lineRule="auto"/>
              <w:jc w:val="right"/>
              <w:rPr>
                <w:rFonts w:asciiTheme="minorHAnsi" w:hAnsiTheme="minorHAnsi" w:cstheme="minorHAnsi"/>
                <w:color w:val="000000"/>
                <w:sz w:val="20"/>
                <w:szCs w:val="20"/>
              </w:rPr>
            </w:pPr>
            <w:r w:rsidRPr="00F920EE">
              <w:rPr>
                <w:rFonts w:asciiTheme="minorHAnsi" w:hAnsiTheme="minorHAnsi" w:cstheme="minorHAnsi"/>
                <w:color w:val="000000"/>
                <w:sz w:val="20"/>
                <w:szCs w:val="20"/>
              </w:rPr>
              <w:t xml:space="preserve">    </w:t>
            </w:r>
            <w:r w:rsidR="009A6796">
              <w:rPr>
                <w:rFonts w:asciiTheme="minorHAnsi" w:hAnsiTheme="minorHAnsi" w:cstheme="minorHAnsi"/>
                <w:color w:val="000000"/>
                <w:sz w:val="20"/>
                <w:szCs w:val="20"/>
              </w:rPr>
              <w:t>-</w:t>
            </w:r>
          </w:p>
        </w:tc>
      </w:tr>
      <w:tr w:rsidR="0069183A" w:rsidRPr="001E189A" w:rsidTr="003A4F0E">
        <w:tblPrEx>
          <w:tblBorders>
            <w:top w:val="single" w:sz="4" w:space="0" w:color="auto"/>
            <w:left w:val="single" w:sz="4" w:space="0" w:color="auto"/>
            <w:bottom w:val="single" w:sz="4" w:space="0" w:color="auto"/>
            <w:right w:val="single" w:sz="4" w:space="0" w:color="auto"/>
          </w:tblBorders>
        </w:tblPrEx>
        <w:trPr>
          <w:trHeight w:val="315"/>
        </w:trPr>
        <w:tc>
          <w:tcPr>
            <w:tcW w:w="3539" w:type="dxa"/>
            <w:tcBorders>
              <w:top w:val="nil"/>
              <w:bottom w:val="single" w:sz="4" w:space="0" w:color="auto"/>
              <w:right w:val="single" w:sz="4" w:space="0" w:color="auto"/>
            </w:tcBorders>
            <w:noWrap/>
          </w:tcPr>
          <w:p w:rsidR="0069183A" w:rsidRPr="008374DE" w:rsidRDefault="0069183A" w:rsidP="00195C28">
            <w:pPr>
              <w:spacing w:after="0" w:line="240" w:lineRule="auto"/>
              <w:rPr>
                <w:rFonts w:asciiTheme="minorHAnsi" w:eastAsia="Times New Roman" w:hAnsiTheme="minorHAnsi" w:cs="Times New Roman"/>
                <w:color w:val="000000"/>
                <w:sz w:val="20"/>
                <w:szCs w:val="20"/>
                <w:lang w:val="en-US" w:eastAsia="en-US"/>
              </w:rPr>
            </w:pPr>
            <w:r w:rsidRPr="008374DE">
              <w:rPr>
                <w:rFonts w:asciiTheme="minorHAnsi" w:eastAsia="Times New Roman" w:hAnsiTheme="minorHAnsi" w:cs="Times New Roman"/>
                <w:color w:val="000000"/>
                <w:sz w:val="20"/>
                <w:szCs w:val="20"/>
                <w:lang w:val="en-US" w:eastAsia="en-US"/>
              </w:rPr>
              <w:t>Weighted average number of ordinary shares in issue (‘000)</w:t>
            </w:r>
          </w:p>
        </w:tc>
        <w:tc>
          <w:tcPr>
            <w:tcW w:w="1523" w:type="dxa"/>
            <w:tcBorders>
              <w:top w:val="nil"/>
              <w:left w:val="single" w:sz="4" w:space="0" w:color="auto"/>
              <w:bottom w:val="single" w:sz="4" w:space="0" w:color="auto"/>
            </w:tcBorders>
            <w:noWrap/>
            <w:vAlign w:val="bottom"/>
          </w:tcPr>
          <w:p w:rsidR="0069183A" w:rsidRPr="0069183A" w:rsidRDefault="0069183A" w:rsidP="002505E4">
            <w:pPr>
              <w:spacing w:after="0" w:line="240" w:lineRule="auto"/>
              <w:jc w:val="right"/>
              <w:rPr>
                <w:rFonts w:asciiTheme="minorHAnsi" w:hAnsiTheme="minorHAnsi" w:cstheme="minorHAnsi"/>
                <w:color w:val="000000"/>
                <w:sz w:val="20"/>
                <w:szCs w:val="20"/>
              </w:rPr>
            </w:pPr>
            <w:r w:rsidRPr="0069183A">
              <w:rPr>
                <w:rFonts w:asciiTheme="minorHAnsi" w:hAnsiTheme="minorHAnsi" w:cstheme="minorHAnsi"/>
                <w:color w:val="000000"/>
                <w:sz w:val="20"/>
                <w:szCs w:val="20"/>
              </w:rPr>
              <w:t>294,493</w:t>
            </w:r>
          </w:p>
        </w:tc>
        <w:tc>
          <w:tcPr>
            <w:tcW w:w="1524" w:type="dxa"/>
            <w:tcBorders>
              <w:top w:val="nil"/>
              <w:bottom w:val="single" w:sz="4" w:space="0" w:color="auto"/>
              <w:right w:val="single" w:sz="4" w:space="0" w:color="auto"/>
            </w:tcBorders>
            <w:noWrap/>
            <w:vAlign w:val="bottom"/>
          </w:tcPr>
          <w:p w:rsidR="0069183A" w:rsidRPr="0069183A" w:rsidRDefault="009A6796" w:rsidP="002505E4">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524" w:type="dxa"/>
            <w:tcBorders>
              <w:top w:val="nil"/>
              <w:left w:val="single" w:sz="4" w:space="0" w:color="auto"/>
              <w:bottom w:val="single" w:sz="4" w:space="0" w:color="auto"/>
            </w:tcBorders>
            <w:noWrap/>
            <w:vAlign w:val="bottom"/>
          </w:tcPr>
          <w:p w:rsidR="0069183A" w:rsidRPr="0069183A" w:rsidRDefault="0069183A" w:rsidP="002505E4">
            <w:pPr>
              <w:spacing w:after="0" w:line="240" w:lineRule="auto"/>
              <w:jc w:val="right"/>
              <w:rPr>
                <w:rFonts w:asciiTheme="minorHAnsi" w:hAnsiTheme="minorHAnsi" w:cstheme="minorHAnsi"/>
                <w:color w:val="000000"/>
                <w:sz w:val="20"/>
                <w:szCs w:val="20"/>
              </w:rPr>
            </w:pPr>
            <w:r w:rsidRPr="0069183A">
              <w:rPr>
                <w:rFonts w:asciiTheme="minorHAnsi" w:hAnsiTheme="minorHAnsi" w:cstheme="minorHAnsi"/>
                <w:color w:val="000000"/>
                <w:sz w:val="20"/>
                <w:szCs w:val="20"/>
              </w:rPr>
              <w:t>284,062</w:t>
            </w:r>
          </w:p>
        </w:tc>
        <w:tc>
          <w:tcPr>
            <w:tcW w:w="1524" w:type="dxa"/>
            <w:tcBorders>
              <w:top w:val="nil"/>
              <w:bottom w:val="single" w:sz="4" w:space="0" w:color="auto"/>
            </w:tcBorders>
            <w:noWrap/>
            <w:vAlign w:val="bottom"/>
          </w:tcPr>
          <w:p w:rsidR="0069183A" w:rsidRPr="0069183A" w:rsidRDefault="009A6796" w:rsidP="002505E4">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F920EE" w:rsidRPr="008374DE" w:rsidTr="003A4F0E">
        <w:tblPrEx>
          <w:tblBorders>
            <w:top w:val="single" w:sz="4" w:space="0" w:color="auto"/>
            <w:left w:val="single" w:sz="4" w:space="0" w:color="auto"/>
            <w:bottom w:val="single" w:sz="4" w:space="0" w:color="auto"/>
            <w:right w:val="single" w:sz="4" w:space="0" w:color="auto"/>
          </w:tblBorders>
        </w:tblPrEx>
        <w:trPr>
          <w:trHeight w:val="315"/>
        </w:trPr>
        <w:tc>
          <w:tcPr>
            <w:tcW w:w="3539" w:type="dxa"/>
            <w:tcBorders>
              <w:top w:val="single" w:sz="4" w:space="0" w:color="auto"/>
              <w:bottom w:val="single" w:sz="4" w:space="0" w:color="auto"/>
              <w:right w:val="single" w:sz="4" w:space="0" w:color="auto"/>
            </w:tcBorders>
            <w:noWrap/>
          </w:tcPr>
          <w:p w:rsidR="00F920EE" w:rsidRPr="008374DE" w:rsidRDefault="00F920EE" w:rsidP="00CB68FB">
            <w:pPr>
              <w:autoSpaceDE w:val="0"/>
              <w:autoSpaceDN w:val="0"/>
              <w:adjustRightInd w:val="0"/>
              <w:spacing w:after="0" w:line="240" w:lineRule="auto"/>
              <w:rPr>
                <w:rFonts w:asciiTheme="minorHAnsi" w:eastAsia="Times New Roman" w:hAnsiTheme="minorHAnsi" w:cs="Times New Roman"/>
                <w:b/>
                <w:bCs/>
                <w:color w:val="000000"/>
                <w:sz w:val="20"/>
                <w:szCs w:val="20"/>
                <w:lang w:val="en-US" w:eastAsia="en-US"/>
              </w:rPr>
            </w:pPr>
            <w:r>
              <w:rPr>
                <w:rFonts w:asciiTheme="minorHAnsi" w:eastAsia="Times New Roman" w:hAnsiTheme="minorHAnsi" w:cs="Times New Roman"/>
                <w:b/>
                <w:bCs/>
                <w:color w:val="000000"/>
                <w:sz w:val="20"/>
                <w:szCs w:val="20"/>
                <w:lang w:val="en-US" w:eastAsia="en-US"/>
              </w:rPr>
              <w:t>Basic earnings/(loss)</w:t>
            </w:r>
            <w:r w:rsidRPr="008374DE">
              <w:rPr>
                <w:rFonts w:asciiTheme="minorHAnsi" w:eastAsia="Times New Roman" w:hAnsiTheme="minorHAnsi" w:cs="Times New Roman"/>
                <w:b/>
                <w:bCs/>
                <w:color w:val="000000"/>
                <w:sz w:val="20"/>
                <w:szCs w:val="20"/>
                <w:lang w:val="en-US" w:eastAsia="en-US"/>
              </w:rPr>
              <w:t xml:space="preserve"> per share (sen) </w:t>
            </w:r>
          </w:p>
        </w:tc>
        <w:tc>
          <w:tcPr>
            <w:tcW w:w="1523" w:type="dxa"/>
            <w:tcBorders>
              <w:top w:val="single" w:sz="4" w:space="0" w:color="auto"/>
              <w:left w:val="single" w:sz="4" w:space="0" w:color="auto"/>
              <w:bottom w:val="single" w:sz="4" w:space="0" w:color="auto"/>
            </w:tcBorders>
            <w:noWrap/>
            <w:vAlign w:val="bottom"/>
          </w:tcPr>
          <w:p w:rsidR="00F920EE" w:rsidRPr="00F920EE" w:rsidRDefault="00F920EE" w:rsidP="009A6796">
            <w:pPr>
              <w:spacing w:after="0" w:line="240" w:lineRule="auto"/>
              <w:jc w:val="right"/>
              <w:rPr>
                <w:rFonts w:asciiTheme="minorHAnsi" w:hAnsiTheme="minorHAnsi" w:cstheme="minorHAnsi"/>
                <w:color w:val="000000"/>
                <w:sz w:val="20"/>
                <w:szCs w:val="20"/>
              </w:rPr>
            </w:pPr>
            <w:r w:rsidRPr="00F920EE">
              <w:rPr>
                <w:rFonts w:asciiTheme="minorHAnsi" w:hAnsiTheme="minorHAnsi" w:cstheme="minorHAnsi"/>
                <w:color w:val="000000"/>
                <w:sz w:val="20"/>
                <w:szCs w:val="20"/>
              </w:rPr>
              <w:t>(0.14)</w:t>
            </w:r>
          </w:p>
        </w:tc>
        <w:tc>
          <w:tcPr>
            <w:tcW w:w="1524" w:type="dxa"/>
            <w:tcBorders>
              <w:top w:val="single" w:sz="4" w:space="0" w:color="auto"/>
              <w:bottom w:val="single" w:sz="4" w:space="0" w:color="auto"/>
              <w:right w:val="single" w:sz="4" w:space="0" w:color="auto"/>
            </w:tcBorders>
            <w:noWrap/>
            <w:vAlign w:val="bottom"/>
          </w:tcPr>
          <w:p w:rsidR="00F920EE" w:rsidRPr="00F920EE" w:rsidRDefault="009A6796" w:rsidP="009A6796">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524" w:type="dxa"/>
            <w:tcBorders>
              <w:top w:val="single" w:sz="4" w:space="0" w:color="auto"/>
              <w:left w:val="single" w:sz="4" w:space="0" w:color="auto"/>
              <w:bottom w:val="single" w:sz="4" w:space="0" w:color="auto"/>
            </w:tcBorders>
            <w:noWrap/>
            <w:vAlign w:val="bottom"/>
          </w:tcPr>
          <w:p w:rsidR="00F920EE" w:rsidRPr="00F920EE" w:rsidRDefault="00F920EE" w:rsidP="009A6796">
            <w:pPr>
              <w:spacing w:after="0" w:line="240" w:lineRule="auto"/>
              <w:jc w:val="right"/>
              <w:rPr>
                <w:rFonts w:asciiTheme="minorHAnsi" w:hAnsiTheme="minorHAnsi" w:cstheme="minorHAnsi"/>
                <w:color w:val="000000"/>
                <w:sz w:val="20"/>
                <w:szCs w:val="20"/>
              </w:rPr>
            </w:pPr>
            <w:r w:rsidRPr="00F920EE">
              <w:rPr>
                <w:rFonts w:asciiTheme="minorHAnsi" w:hAnsiTheme="minorHAnsi" w:cstheme="minorHAnsi"/>
                <w:color w:val="000000"/>
                <w:sz w:val="20"/>
                <w:szCs w:val="20"/>
              </w:rPr>
              <w:t>(3.96)</w:t>
            </w:r>
          </w:p>
        </w:tc>
        <w:tc>
          <w:tcPr>
            <w:tcW w:w="1524" w:type="dxa"/>
            <w:tcBorders>
              <w:top w:val="single" w:sz="4" w:space="0" w:color="auto"/>
              <w:bottom w:val="single" w:sz="4" w:space="0" w:color="auto"/>
            </w:tcBorders>
            <w:noWrap/>
            <w:vAlign w:val="bottom"/>
          </w:tcPr>
          <w:p w:rsidR="00F920EE" w:rsidRPr="00F920EE" w:rsidRDefault="009A6796" w:rsidP="009A6796">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tc>
      </w:tr>
    </w:tbl>
    <w:p w:rsidR="00DE67D8" w:rsidRDefault="00DE67D8" w:rsidP="00CB68FB">
      <w:pPr>
        <w:spacing w:after="0" w:line="240" w:lineRule="auto"/>
        <w:rPr>
          <w:rFonts w:asciiTheme="minorHAnsi" w:hAnsiTheme="minorHAnsi"/>
          <w:sz w:val="20"/>
          <w:szCs w:val="20"/>
        </w:rPr>
      </w:pPr>
    </w:p>
    <w:p w:rsidR="00195C28" w:rsidRDefault="00195C28" w:rsidP="00195C28">
      <w:pPr>
        <w:spacing w:after="0" w:line="240" w:lineRule="auto"/>
        <w:rPr>
          <w:rFonts w:asciiTheme="minorHAnsi" w:hAnsiTheme="minorHAnsi"/>
          <w:b/>
          <w:bCs/>
          <w:sz w:val="20"/>
          <w:szCs w:val="20"/>
        </w:rPr>
      </w:pPr>
    </w:p>
    <w:p w:rsidR="00195C28" w:rsidRDefault="00195C28" w:rsidP="00195C28">
      <w:pPr>
        <w:spacing w:after="0" w:line="240" w:lineRule="auto"/>
        <w:rPr>
          <w:rFonts w:asciiTheme="minorHAnsi" w:hAnsiTheme="minorHAnsi"/>
          <w:b/>
          <w:bCs/>
          <w:sz w:val="20"/>
          <w:szCs w:val="20"/>
        </w:rPr>
      </w:pPr>
      <w:r>
        <w:rPr>
          <w:rFonts w:asciiTheme="minorHAnsi" w:hAnsiTheme="minorHAnsi"/>
          <w:b/>
          <w:bCs/>
          <w:sz w:val="20"/>
          <w:szCs w:val="20"/>
        </w:rPr>
        <w:t>b) Diluted earnings/(loss) per share</w:t>
      </w:r>
    </w:p>
    <w:p w:rsidR="00195C28" w:rsidRDefault="00195C28" w:rsidP="00195C28">
      <w:pPr>
        <w:spacing w:after="0" w:line="240" w:lineRule="auto"/>
        <w:rPr>
          <w:rFonts w:asciiTheme="minorHAnsi" w:hAnsiTheme="minorHAnsi"/>
          <w:sz w:val="20"/>
          <w:szCs w:val="20"/>
        </w:rPr>
      </w:pPr>
    </w:p>
    <w:p w:rsidR="00195C28" w:rsidRDefault="00195C28" w:rsidP="00195C28">
      <w:pPr>
        <w:autoSpaceDE w:val="0"/>
        <w:autoSpaceDN w:val="0"/>
        <w:adjustRightInd w:val="0"/>
        <w:spacing w:after="0" w:line="240" w:lineRule="auto"/>
        <w:ind w:left="720" w:hanging="720"/>
        <w:jc w:val="both"/>
        <w:rPr>
          <w:rFonts w:cs="Arial"/>
          <w:sz w:val="20"/>
          <w:szCs w:val="20"/>
        </w:rPr>
      </w:pPr>
      <w:r w:rsidRPr="008C384E">
        <w:rPr>
          <w:rFonts w:cs="Arial"/>
          <w:sz w:val="20"/>
          <w:szCs w:val="20"/>
        </w:rPr>
        <w:t>No diluted earnings/(loss) per share is disclosed as all potential ordinary shares are anti</w:t>
      </w:r>
      <w:r>
        <w:rPr>
          <w:rFonts w:cs="Arial"/>
          <w:sz w:val="20"/>
          <w:szCs w:val="20"/>
        </w:rPr>
        <w:t>-</w:t>
      </w:r>
      <w:r w:rsidRPr="008C384E">
        <w:rPr>
          <w:rFonts w:cs="Arial"/>
          <w:sz w:val="20"/>
          <w:szCs w:val="20"/>
        </w:rPr>
        <w:t>dilutive.</w:t>
      </w:r>
    </w:p>
    <w:p w:rsidR="002E0E47" w:rsidRDefault="002E0E47" w:rsidP="00195C28">
      <w:pPr>
        <w:autoSpaceDE w:val="0"/>
        <w:autoSpaceDN w:val="0"/>
        <w:adjustRightInd w:val="0"/>
        <w:spacing w:after="0" w:line="240" w:lineRule="auto"/>
        <w:ind w:left="720" w:hanging="720"/>
        <w:jc w:val="both"/>
        <w:rPr>
          <w:rFonts w:cs="Arial"/>
          <w:sz w:val="20"/>
          <w:szCs w:val="20"/>
        </w:rPr>
      </w:pPr>
    </w:p>
    <w:p w:rsidR="002E0E47" w:rsidRDefault="002E0E47" w:rsidP="00195C28">
      <w:pPr>
        <w:autoSpaceDE w:val="0"/>
        <w:autoSpaceDN w:val="0"/>
        <w:adjustRightInd w:val="0"/>
        <w:spacing w:after="0" w:line="240" w:lineRule="auto"/>
        <w:ind w:left="720" w:hanging="720"/>
        <w:jc w:val="both"/>
        <w:rPr>
          <w:rFonts w:cs="Arial"/>
          <w:sz w:val="20"/>
          <w:szCs w:val="20"/>
        </w:rPr>
      </w:pPr>
    </w:p>
    <w:p w:rsidR="002E0E47" w:rsidRPr="008374DE" w:rsidRDefault="002E0E47" w:rsidP="002E0E47">
      <w:pPr>
        <w:spacing w:after="0" w:line="240" w:lineRule="auto"/>
        <w:rPr>
          <w:rFonts w:asciiTheme="minorHAnsi" w:hAnsiTheme="minorHAnsi" w:cs="Times New Roman"/>
          <w:b/>
          <w:bCs/>
          <w:sz w:val="20"/>
          <w:szCs w:val="20"/>
        </w:rPr>
      </w:pPr>
      <w:r>
        <w:rPr>
          <w:rFonts w:asciiTheme="minorHAnsi" w:hAnsiTheme="minorHAnsi" w:cs="Times New Roman"/>
          <w:b/>
          <w:bCs/>
          <w:sz w:val="20"/>
          <w:szCs w:val="20"/>
        </w:rPr>
        <w:t>B12</w:t>
      </w:r>
      <w:r w:rsidRPr="008374DE">
        <w:rPr>
          <w:rFonts w:asciiTheme="minorHAnsi" w:hAnsiTheme="minorHAnsi" w:cs="Times New Roman"/>
          <w:b/>
          <w:bCs/>
          <w:sz w:val="20"/>
          <w:szCs w:val="20"/>
        </w:rPr>
        <w:t xml:space="preserve">. Disclosure of </w:t>
      </w:r>
      <w:r>
        <w:rPr>
          <w:rFonts w:asciiTheme="minorHAnsi" w:hAnsiTheme="minorHAnsi" w:cs="Times New Roman"/>
          <w:b/>
          <w:bCs/>
          <w:sz w:val="20"/>
          <w:szCs w:val="20"/>
        </w:rPr>
        <w:t>realised and unrealised profits or</w:t>
      </w:r>
      <w:r w:rsidRPr="008374DE">
        <w:rPr>
          <w:rFonts w:asciiTheme="minorHAnsi" w:hAnsiTheme="minorHAnsi" w:cs="Times New Roman"/>
          <w:b/>
          <w:bCs/>
          <w:sz w:val="20"/>
          <w:szCs w:val="20"/>
        </w:rPr>
        <w:t xml:space="preserve"> losses</w:t>
      </w:r>
    </w:p>
    <w:p w:rsidR="002E0E47" w:rsidRPr="002E0E47" w:rsidRDefault="002E0E47" w:rsidP="00195C28">
      <w:pPr>
        <w:autoSpaceDE w:val="0"/>
        <w:autoSpaceDN w:val="0"/>
        <w:adjustRightInd w:val="0"/>
        <w:spacing w:after="0" w:line="240" w:lineRule="auto"/>
        <w:ind w:left="720" w:hanging="720"/>
        <w:jc w:val="both"/>
        <w:rPr>
          <w:rFonts w:eastAsia="ITCAvantGardeStd-Bk" w:cs="ITCAvantGardeStd-Bk"/>
          <w:sz w:val="20"/>
          <w:szCs w:val="20"/>
          <w:lang w:eastAsia="en-US"/>
        </w:rPr>
      </w:pPr>
    </w:p>
    <w:p w:rsidR="00195C28" w:rsidRPr="008C384E" w:rsidRDefault="00195C28" w:rsidP="00195C28">
      <w:pPr>
        <w:spacing w:after="0" w:line="240" w:lineRule="auto"/>
        <w:rPr>
          <w:rFonts w:asciiTheme="minorHAnsi" w:hAnsiTheme="minorHAnsi"/>
          <w:sz w:val="20"/>
          <w:szCs w:val="20"/>
          <w:lang w:val="en-US"/>
        </w:rPr>
      </w:pPr>
    </w:p>
    <w:tbl>
      <w:tblPr>
        <w:tblW w:w="9634" w:type="dxa"/>
        <w:tblLook w:val="00A0" w:firstRow="1" w:lastRow="0" w:firstColumn="1" w:lastColumn="0" w:noHBand="0" w:noVBand="0"/>
      </w:tblPr>
      <w:tblGrid>
        <w:gridCol w:w="5949"/>
        <w:gridCol w:w="1843"/>
        <w:gridCol w:w="1842"/>
      </w:tblGrid>
      <w:tr w:rsidR="002E0E47" w:rsidRPr="008374DE" w:rsidTr="000F2033">
        <w:trPr>
          <w:trHeight w:val="300"/>
        </w:trPr>
        <w:tc>
          <w:tcPr>
            <w:tcW w:w="5949" w:type="dxa"/>
            <w:tcBorders>
              <w:top w:val="single" w:sz="4" w:space="0" w:color="auto"/>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b/>
                <w:bCs/>
                <w:color w:val="000000"/>
                <w:sz w:val="18"/>
                <w:szCs w:val="18"/>
                <w:lang w:val="en-US" w:eastAsia="en-US"/>
              </w:rPr>
            </w:pPr>
          </w:p>
        </w:tc>
        <w:tc>
          <w:tcPr>
            <w:tcW w:w="1843" w:type="dxa"/>
            <w:tcBorders>
              <w:top w:val="single" w:sz="4" w:space="0" w:color="auto"/>
              <w:left w:val="single" w:sz="4" w:space="0" w:color="auto"/>
              <w:right w:val="single" w:sz="4" w:space="0" w:color="auto"/>
            </w:tcBorders>
            <w:noWrap/>
          </w:tcPr>
          <w:p w:rsidR="002E0E47" w:rsidRPr="008374DE" w:rsidRDefault="002E0E47" w:rsidP="000F2033">
            <w:pPr>
              <w:spacing w:after="0" w:line="240" w:lineRule="auto"/>
              <w:ind w:right="34"/>
              <w:jc w:val="right"/>
              <w:rPr>
                <w:rFonts w:eastAsia="Times New Roman" w:cs="Times New Roman"/>
                <w:b/>
                <w:bCs/>
                <w:color w:val="000000"/>
                <w:sz w:val="18"/>
                <w:szCs w:val="18"/>
                <w:lang w:val="en-US" w:eastAsia="en-US"/>
              </w:rPr>
            </w:pPr>
            <w:r w:rsidRPr="008374DE">
              <w:rPr>
                <w:rFonts w:eastAsia="Times New Roman" w:cs="Times New Roman"/>
                <w:b/>
                <w:bCs/>
                <w:color w:val="000000"/>
                <w:sz w:val="18"/>
                <w:szCs w:val="18"/>
                <w:lang w:eastAsia="en-US"/>
              </w:rPr>
              <w:t xml:space="preserve">As at </w:t>
            </w:r>
          </w:p>
        </w:tc>
        <w:tc>
          <w:tcPr>
            <w:tcW w:w="1842" w:type="dxa"/>
            <w:tcBorders>
              <w:top w:val="single" w:sz="4" w:space="0" w:color="auto"/>
              <w:left w:val="single" w:sz="4" w:space="0" w:color="auto"/>
              <w:right w:val="single" w:sz="4" w:space="0" w:color="auto"/>
            </w:tcBorders>
          </w:tcPr>
          <w:p w:rsidR="002E0E47" w:rsidRPr="008374DE" w:rsidDel="004416B8" w:rsidRDefault="002E0E47" w:rsidP="000F2033">
            <w:pPr>
              <w:spacing w:after="0" w:line="240" w:lineRule="auto"/>
              <w:ind w:right="33"/>
              <w:jc w:val="right"/>
              <w:rPr>
                <w:rFonts w:eastAsia="Times New Roman" w:cs="Times New Roman"/>
                <w:b/>
                <w:bCs/>
                <w:color w:val="000000"/>
                <w:sz w:val="18"/>
                <w:szCs w:val="18"/>
                <w:lang w:eastAsia="en-US"/>
              </w:rPr>
            </w:pPr>
            <w:r w:rsidRPr="008374DE">
              <w:rPr>
                <w:rFonts w:eastAsia="Times New Roman" w:cs="Times New Roman"/>
                <w:b/>
                <w:bCs/>
                <w:color w:val="000000"/>
                <w:sz w:val="18"/>
                <w:szCs w:val="18"/>
                <w:lang w:eastAsia="en-US"/>
              </w:rPr>
              <w:t>As at</w:t>
            </w:r>
          </w:p>
        </w:tc>
      </w:tr>
      <w:tr w:rsidR="002E0E47" w:rsidRPr="008374DE" w:rsidTr="000F2033">
        <w:trPr>
          <w:trHeight w:val="300"/>
        </w:trPr>
        <w:tc>
          <w:tcPr>
            <w:tcW w:w="5949" w:type="dxa"/>
            <w:tcBorders>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b/>
                <w:bCs/>
                <w:color w:val="000000"/>
                <w:sz w:val="18"/>
                <w:szCs w:val="18"/>
                <w:lang w:val="en-US" w:eastAsia="en-US"/>
              </w:rPr>
            </w:pPr>
          </w:p>
        </w:tc>
        <w:tc>
          <w:tcPr>
            <w:tcW w:w="1843" w:type="dxa"/>
            <w:tcBorders>
              <w:left w:val="single" w:sz="4" w:space="0" w:color="auto"/>
              <w:right w:val="single" w:sz="4" w:space="0" w:color="auto"/>
            </w:tcBorders>
            <w:noWrap/>
          </w:tcPr>
          <w:p w:rsidR="002E0E47" w:rsidRPr="008374DE" w:rsidRDefault="002E0E47" w:rsidP="0069183A">
            <w:pPr>
              <w:spacing w:after="0" w:line="240" w:lineRule="auto"/>
              <w:jc w:val="right"/>
              <w:rPr>
                <w:rFonts w:eastAsia="Times New Roman" w:cs="Times New Roman"/>
                <w:b/>
                <w:bCs/>
                <w:color w:val="000000"/>
                <w:sz w:val="18"/>
                <w:szCs w:val="18"/>
                <w:lang w:val="en-US" w:eastAsia="en-US"/>
              </w:rPr>
            </w:pPr>
            <w:r>
              <w:rPr>
                <w:rFonts w:eastAsia="Times New Roman" w:cs="Times New Roman"/>
                <w:b/>
                <w:bCs/>
                <w:color w:val="000000"/>
                <w:sz w:val="18"/>
                <w:szCs w:val="18"/>
                <w:lang w:eastAsia="en-US"/>
              </w:rPr>
              <w:t>3</w:t>
            </w:r>
            <w:r w:rsidR="0069183A">
              <w:rPr>
                <w:rFonts w:eastAsia="Times New Roman" w:cs="Times New Roman"/>
                <w:b/>
                <w:bCs/>
                <w:color w:val="000000"/>
                <w:sz w:val="18"/>
                <w:szCs w:val="18"/>
                <w:lang w:eastAsia="en-US"/>
              </w:rPr>
              <w:t>0 June</w:t>
            </w:r>
            <w:r>
              <w:rPr>
                <w:rFonts w:eastAsia="Times New Roman" w:cs="Times New Roman"/>
                <w:b/>
                <w:bCs/>
                <w:color w:val="000000"/>
                <w:sz w:val="18"/>
                <w:szCs w:val="18"/>
                <w:lang w:eastAsia="en-US"/>
              </w:rPr>
              <w:t xml:space="preserve"> 2016</w:t>
            </w:r>
          </w:p>
        </w:tc>
        <w:tc>
          <w:tcPr>
            <w:tcW w:w="1842" w:type="dxa"/>
            <w:tcBorders>
              <w:left w:val="single" w:sz="4" w:space="0" w:color="auto"/>
              <w:right w:val="single" w:sz="4" w:space="0" w:color="auto"/>
            </w:tcBorders>
          </w:tcPr>
          <w:p w:rsidR="002E0E47" w:rsidRPr="008374DE" w:rsidDel="004416B8" w:rsidRDefault="009A6796" w:rsidP="0069183A">
            <w:pPr>
              <w:spacing w:after="0" w:line="240" w:lineRule="auto"/>
              <w:jc w:val="right"/>
              <w:rPr>
                <w:rFonts w:eastAsia="Times New Roman" w:cs="Times New Roman"/>
                <w:b/>
                <w:bCs/>
                <w:color w:val="000000"/>
                <w:sz w:val="18"/>
                <w:szCs w:val="18"/>
                <w:lang w:eastAsia="en-US"/>
              </w:rPr>
            </w:pPr>
            <w:r>
              <w:rPr>
                <w:rFonts w:eastAsia="Times New Roman" w:cs="Times New Roman"/>
                <w:b/>
                <w:bCs/>
                <w:color w:val="000000"/>
                <w:sz w:val="18"/>
                <w:szCs w:val="18"/>
                <w:lang w:eastAsia="en-US"/>
              </w:rPr>
              <w:t>31 July 2015</w:t>
            </w:r>
          </w:p>
        </w:tc>
      </w:tr>
      <w:tr w:rsidR="002E0E47" w:rsidRPr="008374DE" w:rsidTr="000F2033">
        <w:trPr>
          <w:trHeight w:val="189"/>
        </w:trPr>
        <w:tc>
          <w:tcPr>
            <w:tcW w:w="5949" w:type="dxa"/>
            <w:tcBorders>
              <w:left w:val="single" w:sz="4" w:space="0" w:color="auto"/>
              <w:bottom w:val="single" w:sz="4" w:space="0" w:color="auto"/>
              <w:right w:val="single" w:sz="4" w:space="0" w:color="auto"/>
            </w:tcBorders>
            <w:noWrap/>
          </w:tcPr>
          <w:p w:rsidR="002E0E47" w:rsidRPr="008374DE" w:rsidRDefault="002E0E47" w:rsidP="000F2033">
            <w:pPr>
              <w:spacing w:after="0" w:line="240" w:lineRule="auto"/>
              <w:rPr>
                <w:rFonts w:eastAsia="Times New Roman" w:cs="Times New Roman"/>
                <w:b/>
                <w:bCs/>
                <w:color w:val="000000"/>
                <w:sz w:val="18"/>
                <w:szCs w:val="18"/>
                <w:lang w:val="en-US" w:eastAsia="en-US"/>
              </w:rPr>
            </w:pPr>
          </w:p>
        </w:tc>
        <w:tc>
          <w:tcPr>
            <w:tcW w:w="1843" w:type="dxa"/>
            <w:tcBorders>
              <w:left w:val="single" w:sz="4" w:space="0" w:color="auto"/>
              <w:bottom w:val="single" w:sz="4" w:space="0" w:color="auto"/>
              <w:right w:val="single" w:sz="4" w:space="0" w:color="auto"/>
            </w:tcBorders>
            <w:noWrap/>
          </w:tcPr>
          <w:p w:rsidR="002E0E47" w:rsidRPr="008374DE" w:rsidRDefault="002E0E47" w:rsidP="000F2033">
            <w:pPr>
              <w:spacing w:after="0" w:line="240" w:lineRule="auto"/>
              <w:jc w:val="right"/>
              <w:rPr>
                <w:rFonts w:eastAsia="Times New Roman" w:cs="Times New Roman"/>
                <w:b/>
                <w:bCs/>
                <w:color w:val="000000"/>
                <w:sz w:val="18"/>
                <w:szCs w:val="18"/>
                <w:lang w:val="en-US" w:eastAsia="en-US"/>
              </w:rPr>
            </w:pPr>
            <w:r w:rsidRPr="008374DE">
              <w:rPr>
                <w:rFonts w:eastAsia="Times New Roman" w:cs="Times New Roman"/>
                <w:b/>
                <w:bCs/>
                <w:color w:val="000000"/>
                <w:sz w:val="18"/>
                <w:szCs w:val="18"/>
                <w:lang w:eastAsia="en-US"/>
              </w:rPr>
              <w:t>RM'000</w:t>
            </w:r>
          </w:p>
        </w:tc>
        <w:tc>
          <w:tcPr>
            <w:tcW w:w="1842" w:type="dxa"/>
            <w:tcBorders>
              <w:left w:val="single" w:sz="4" w:space="0" w:color="auto"/>
              <w:bottom w:val="single" w:sz="4" w:space="0" w:color="auto"/>
              <w:right w:val="single" w:sz="4" w:space="0" w:color="auto"/>
            </w:tcBorders>
          </w:tcPr>
          <w:p w:rsidR="002E0E47" w:rsidRPr="008374DE" w:rsidDel="004416B8" w:rsidRDefault="002E0E47" w:rsidP="000F2033">
            <w:pPr>
              <w:spacing w:after="0" w:line="240" w:lineRule="auto"/>
              <w:jc w:val="right"/>
              <w:rPr>
                <w:rFonts w:eastAsia="Times New Roman" w:cs="Times New Roman"/>
                <w:b/>
                <w:bCs/>
                <w:color w:val="000000"/>
                <w:sz w:val="18"/>
                <w:szCs w:val="18"/>
                <w:lang w:eastAsia="en-US"/>
              </w:rPr>
            </w:pPr>
            <w:r w:rsidRPr="008374DE">
              <w:rPr>
                <w:rFonts w:eastAsia="Times New Roman" w:cs="Times New Roman"/>
                <w:b/>
                <w:bCs/>
                <w:color w:val="000000"/>
                <w:sz w:val="18"/>
                <w:szCs w:val="18"/>
                <w:lang w:eastAsia="en-US"/>
              </w:rPr>
              <w:t>RM'000</w:t>
            </w:r>
          </w:p>
        </w:tc>
      </w:tr>
      <w:tr w:rsidR="002E0E47" w:rsidRPr="008374DE" w:rsidTr="000F2033">
        <w:trPr>
          <w:trHeight w:val="315"/>
        </w:trPr>
        <w:tc>
          <w:tcPr>
            <w:tcW w:w="5949" w:type="dxa"/>
            <w:tcBorders>
              <w:top w:val="single" w:sz="4" w:space="0" w:color="auto"/>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color w:val="000000"/>
                <w:sz w:val="18"/>
                <w:szCs w:val="18"/>
                <w:lang w:val="en-US" w:eastAsia="en-US"/>
              </w:rPr>
            </w:pPr>
            <w:r w:rsidRPr="008374DE">
              <w:rPr>
                <w:rFonts w:eastAsia="Times New Roman" w:cs="Times New Roman"/>
                <w:color w:val="000000"/>
                <w:sz w:val="18"/>
                <w:szCs w:val="18"/>
                <w:lang w:val="en-US" w:eastAsia="en-US"/>
              </w:rPr>
              <w:t>Tota</w:t>
            </w:r>
            <w:r>
              <w:rPr>
                <w:rFonts w:eastAsia="Times New Roman" w:cs="Times New Roman"/>
                <w:color w:val="000000"/>
                <w:sz w:val="18"/>
                <w:szCs w:val="18"/>
                <w:lang w:val="en-US" w:eastAsia="en-US"/>
              </w:rPr>
              <w:t>l accumulated losses</w:t>
            </w:r>
            <w:r w:rsidRPr="008374DE">
              <w:rPr>
                <w:rFonts w:eastAsia="Times New Roman" w:cs="Times New Roman"/>
                <w:color w:val="000000"/>
                <w:sz w:val="18"/>
                <w:szCs w:val="18"/>
                <w:lang w:val="en-US" w:eastAsia="en-US"/>
              </w:rPr>
              <w:t xml:space="preserve"> of the Company and its subsidiaries</w:t>
            </w:r>
          </w:p>
        </w:tc>
        <w:tc>
          <w:tcPr>
            <w:tcW w:w="1843" w:type="dxa"/>
            <w:tcBorders>
              <w:top w:val="single" w:sz="4" w:space="0" w:color="auto"/>
              <w:left w:val="single" w:sz="4" w:space="0" w:color="auto"/>
              <w:right w:val="single" w:sz="4" w:space="0" w:color="auto"/>
            </w:tcBorders>
            <w:noWrap/>
          </w:tcPr>
          <w:p w:rsidR="002E0E47" w:rsidRPr="008374DE" w:rsidRDefault="002E0E47" w:rsidP="000F2033">
            <w:pPr>
              <w:spacing w:after="0" w:line="240" w:lineRule="auto"/>
              <w:jc w:val="right"/>
              <w:rPr>
                <w:color w:val="000000"/>
                <w:sz w:val="18"/>
                <w:szCs w:val="18"/>
              </w:rPr>
            </w:pPr>
          </w:p>
        </w:tc>
        <w:tc>
          <w:tcPr>
            <w:tcW w:w="1842" w:type="dxa"/>
            <w:tcBorders>
              <w:top w:val="single" w:sz="4" w:space="0" w:color="auto"/>
              <w:left w:val="single" w:sz="4" w:space="0" w:color="auto"/>
              <w:right w:val="single" w:sz="4" w:space="0" w:color="auto"/>
            </w:tcBorders>
          </w:tcPr>
          <w:p w:rsidR="002E0E47" w:rsidRPr="008374DE" w:rsidRDefault="002E0E47" w:rsidP="000F2033">
            <w:pPr>
              <w:spacing w:after="0" w:line="240" w:lineRule="auto"/>
              <w:jc w:val="right"/>
              <w:rPr>
                <w:color w:val="000000"/>
                <w:sz w:val="18"/>
                <w:szCs w:val="18"/>
              </w:rPr>
            </w:pPr>
          </w:p>
        </w:tc>
      </w:tr>
      <w:tr w:rsidR="002E0E47" w:rsidRPr="008374DE" w:rsidTr="000F2033">
        <w:trPr>
          <w:trHeight w:val="315"/>
        </w:trPr>
        <w:tc>
          <w:tcPr>
            <w:tcW w:w="5949" w:type="dxa"/>
            <w:tcBorders>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color w:val="000000"/>
                <w:sz w:val="18"/>
                <w:szCs w:val="18"/>
                <w:lang w:val="en-US" w:eastAsia="en-US"/>
              </w:rPr>
            </w:pPr>
            <w:r w:rsidRPr="008374DE">
              <w:rPr>
                <w:rFonts w:eastAsia="Times New Roman" w:cs="Times New Roman"/>
                <w:color w:val="000000"/>
                <w:sz w:val="18"/>
                <w:szCs w:val="18"/>
                <w:lang w:val="en-US" w:eastAsia="en-US"/>
              </w:rPr>
              <w:t>- Realised</w:t>
            </w:r>
          </w:p>
        </w:tc>
        <w:tc>
          <w:tcPr>
            <w:tcW w:w="1843" w:type="dxa"/>
            <w:tcBorders>
              <w:left w:val="single" w:sz="4" w:space="0" w:color="auto"/>
              <w:right w:val="single" w:sz="4" w:space="0" w:color="auto"/>
            </w:tcBorders>
            <w:noWrap/>
          </w:tcPr>
          <w:p w:rsidR="002E0E47" w:rsidRPr="008374DE" w:rsidRDefault="002E0E47" w:rsidP="00F920EE">
            <w:pPr>
              <w:spacing w:after="0" w:line="240" w:lineRule="auto"/>
              <w:jc w:val="right"/>
              <w:rPr>
                <w:rFonts w:eastAsia="Times New Roman" w:cs="Times New Roman"/>
                <w:color w:val="000000"/>
                <w:sz w:val="18"/>
                <w:szCs w:val="18"/>
                <w:lang w:val="en-US" w:eastAsia="en-US"/>
              </w:rPr>
            </w:pPr>
            <w:r>
              <w:rPr>
                <w:rFonts w:eastAsia="Times New Roman" w:cs="Times New Roman"/>
                <w:color w:val="000000"/>
                <w:sz w:val="18"/>
                <w:szCs w:val="18"/>
                <w:lang w:val="en-US" w:eastAsia="en-US"/>
              </w:rPr>
              <w:t>(3</w:t>
            </w:r>
            <w:r w:rsidR="005F7FBF">
              <w:rPr>
                <w:rFonts w:eastAsia="Times New Roman" w:cs="Times New Roman"/>
                <w:color w:val="000000"/>
                <w:sz w:val="18"/>
                <w:szCs w:val="18"/>
                <w:lang w:val="en-US" w:eastAsia="en-US"/>
              </w:rPr>
              <w:t>4,</w:t>
            </w:r>
            <w:r w:rsidR="00F920EE">
              <w:rPr>
                <w:rFonts w:eastAsia="Times New Roman" w:cs="Times New Roman"/>
                <w:color w:val="000000"/>
                <w:sz w:val="18"/>
                <w:szCs w:val="18"/>
                <w:lang w:val="en-US" w:eastAsia="en-US"/>
              </w:rPr>
              <w:t>434</w:t>
            </w:r>
            <w:r>
              <w:rPr>
                <w:rFonts w:eastAsia="Times New Roman" w:cs="Times New Roman"/>
                <w:color w:val="000000"/>
                <w:sz w:val="18"/>
                <w:szCs w:val="18"/>
                <w:lang w:val="en-US" w:eastAsia="en-US"/>
              </w:rPr>
              <w:t>)</w:t>
            </w:r>
          </w:p>
        </w:tc>
        <w:tc>
          <w:tcPr>
            <w:tcW w:w="1842" w:type="dxa"/>
            <w:tcBorders>
              <w:left w:val="single" w:sz="4" w:space="0" w:color="auto"/>
              <w:right w:val="single" w:sz="4" w:space="0" w:color="auto"/>
            </w:tcBorders>
          </w:tcPr>
          <w:p w:rsidR="002E0E47" w:rsidRPr="008374DE" w:rsidDel="004416B8" w:rsidRDefault="009A6796" w:rsidP="005F7FBF">
            <w:pPr>
              <w:spacing w:after="0" w:line="240" w:lineRule="auto"/>
              <w:jc w:val="right"/>
              <w:rPr>
                <w:color w:val="000000"/>
                <w:sz w:val="18"/>
                <w:szCs w:val="18"/>
              </w:rPr>
            </w:pPr>
            <w:r>
              <w:rPr>
                <w:color w:val="000000"/>
                <w:sz w:val="18"/>
                <w:szCs w:val="18"/>
              </w:rPr>
              <w:t>-</w:t>
            </w:r>
          </w:p>
        </w:tc>
      </w:tr>
      <w:tr w:rsidR="002E0E47" w:rsidRPr="008374DE" w:rsidTr="000F2033">
        <w:trPr>
          <w:trHeight w:val="315"/>
        </w:trPr>
        <w:tc>
          <w:tcPr>
            <w:tcW w:w="5949" w:type="dxa"/>
            <w:tcBorders>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color w:val="000000"/>
                <w:sz w:val="18"/>
                <w:szCs w:val="18"/>
                <w:lang w:val="en-US" w:eastAsia="en-US"/>
              </w:rPr>
            </w:pPr>
            <w:r w:rsidRPr="008374DE">
              <w:rPr>
                <w:rFonts w:eastAsia="Times New Roman" w:cs="Times New Roman"/>
                <w:color w:val="000000"/>
                <w:sz w:val="18"/>
                <w:szCs w:val="18"/>
                <w:lang w:val="en-US" w:eastAsia="en-US"/>
              </w:rPr>
              <w:t>- Unrealised</w:t>
            </w:r>
          </w:p>
        </w:tc>
        <w:tc>
          <w:tcPr>
            <w:tcW w:w="1843" w:type="dxa"/>
            <w:tcBorders>
              <w:left w:val="single" w:sz="4" w:space="0" w:color="auto"/>
              <w:bottom w:val="single" w:sz="4" w:space="0" w:color="auto"/>
              <w:right w:val="single" w:sz="4" w:space="0" w:color="auto"/>
            </w:tcBorders>
            <w:noWrap/>
          </w:tcPr>
          <w:p w:rsidR="002E0E47" w:rsidRPr="008374DE" w:rsidRDefault="002E0E47" w:rsidP="000F2033">
            <w:pPr>
              <w:spacing w:after="0" w:line="240" w:lineRule="auto"/>
              <w:jc w:val="right"/>
              <w:rPr>
                <w:rFonts w:eastAsia="Times New Roman" w:cs="Times New Roman"/>
                <w:color w:val="000000"/>
                <w:sz w:val="18"/>
                <w:szCs w:val="18"/>
                <w:lang w:val="en-US" w:eastAsia="en-US"/>
              </w:rPr>
            </w:pPr>
            <w:r>
              <w:rPr>
                <w:rFonts w:eastAsia="Times New Roman" w:cs="Times New Roman"/>
                <w:color w:val="000000"/>
                <w:sz w:val="18"/>
                <w:szCs w:val="18"/>
                <w:lang w:val="en-US" w:eastAsia="en-US"/>
              </w:rPr>
              <w:t>246</w:t>
            </w:r>
          </w:p>
        </w:tc>
        <w:tc>
          <w:tcPr>
            <w:tcW w:w="1842" w:type="dxa"/>
            <w:tcBorders>
              <w:left w:val="single" w:sz="4" w:space="0" w:color="auto"/>
              <w:bottom w:val="single" w:sz="4" w:space="0" w:color="auto"/>
              <w:right w:val="single" w:sz="4" w:space="0" w:color="auto"/>
            </w:tcBorders>
          </w:tcPr>
          <w:p w:rsidR="002E0E47" w:rsidRPr="008374DE" w:rsidDel="004416B8" w:rsidRDefault="009A6796" w:rsidP="005F7FBF">
            <w:pPr>
              <w:spacing w:after="0" w:line="240" w:lineRule="auto"/>
              <w:jc w:val="right"/>
              <w:rPr>
                <w:color w:val="000000"/>
                <w:sz w:val="18"/>
                <w:szCs w:val="18"/>
              </w:rPr>
            </w:pPr>
            <w:r>
              <w:rPr>
                <w:color w:val="000000"/>
                <w:sz w:val="18"/>
                <w:szCs w:val="18"/>
              </w:rPr>
              <w:t>-</w:t>
            </w:r>
          </w:p>
        </w:tc>
      </w:tr>
      <w:tr w:rsidR="002E0E47" w:rsidRPr="008374DE" w:rsidTr="000F2033">
        <w:trPr>
          <w:trHeight w:val="315"/>
        </w:trPr>
        <w:tc>
          <w:tcPr>
            <w:tcW w:w="5949" w:type="dxa"/>
            <w:tcBorders>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color w:val="000000"/>
                <w:sz w:val="18"/>
                <w:szCs w:val="18"/>
                <w:lang w:val="en-US" w:eastAsia="en-US"/>
              </w:rPr>
            </w:pPr>
          </w:p>
        </w:tc>
        <w:tc>
          <w:tcPr>
            <w:tcW w:w="1843" w:type="dxa"/>
            <w:tcBorders>
              <w:top w:val="single" w:sz="4" w:space="0" w:color="auto"/>
              <w:left w:val="single" w:sz="4" w:space="0" w:color="auto"/>
              <w:right w:val="single" w:sz="4" w:space="0" w:color="auto"/>
            </w:tcBorders>
            <w:noWrap/>
          </w:tcPr>
          <w:p w:rsidR="002E0E47" w:rsidRPr="008374DE" w:rsidRDefault="00F920EE" w:rsidP="005F7FBF">
            <w:pPr>
              <w:spacing w:after="0" w:line="240" w:lineRule="auto"/>
              <w:jc w:val="right"/>
              <w:rPr>
                <w:color w:val="000000"/>
                <w:sz w:val="18"/>
                <w:szCs w:val="18"/>
              </w:rPr>
            </w:pPr>
            <w:r>
              <w:rPr>
                <w:rFonts w:eastAsia="Times New Roman" w:cs="Times New Roman"/>
                <w:color w:val="000000"/>
                <w:sz w:val="18"/>
                <w:szCs w:val="18"/>
                <w:lang w:val="en-US" w:eastAsia="en-US"/>
              </w:rPr>
              <w:t>(34,188)</w:t>
            </w:r>
          </w:p>
        </w:tc>
        <w:tc>
          <w:tcPr>
            <w:tcW w:w="1842" w:type="dxa"/>
            <w:tcBorders>
              <w:top w:val="single" w:sz="4" w:space="0" w:color="auto"/>
              <w:left w:val="single" w:sz="4" w:space="0" w:color="auto"/>
              <w:right w:val="single" w:sz="4" w:space="0" w:color="auto"/>
            </w:tcBorders>
          </w:tcPr>
          <w:p w:rsidR="002E0E47" w:rsidRPr="008374DE" w:rsidDel="004416B8" w:rsidRDefault="009A6796" w:rsidP="005F7FBF">
            <w:pPr>
              <w:spacing w:after="0" w:line="240" w:lineRule="auto"/>
              <w:jc w:val="right"/>
              <w:rPr>
                <w:color w:val="000000"/>
                <w:sz w:val="18"/>
                <w:szCs w:val="18"/>
              </w:rPr>
            </w:pPr>
            <w:r>
              <w:rPr>
                <w:color w:val="000000"/>
                <w:sz w:val="18"/>
                <w:szCs w:val="18"/>
              </w:rPr>
              <w:t>-</w:t>
            </w:r>
          </w:p>
        </w:tc>
      </w:tr>
      <w:tr w:rsidR="002E0E47" w:rsidRPr="008374DE" w:rsidTr="000F2033">
        <w:trPr>
          <w:trHeight w:val="315"/>
        </w:trPr>
        <w:tc>
          <w:tcPr>
            <w:tcW w:w="5949" w:type="dxa"/>
            <w:tcBorders>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color w:val="000000"/>
                <w:sz w:val="18"/>
                <w:szCs w:val="18"/>
                <w:lang w:val="en-US" w:eastAsia="en-US"/>
              </w:rPr>
            </w:pPr>
            <w:r>
              <w:rPr>
                <w:rFonts w:eastAsia="Times New Roman" w:cs="Times New Roman"/>
                <w:color w:val="000000"/>
                <w:sz w:val="18"/>
                <w:szCs w:val="18"/>
                <w:lang w:val="en-US" w:eastAsia="en-US"/>
              </w:rPr>
              <w:t>Total share of accumulated losses</w:t>
            </w:r>
            <w:r w:rsidRPr="008374DE">
              <w:rPr>
                <w:rFonts w:eastAsia="Times New Roman" w:cs="Times New Roman"/>
                <w:color w:val="000000"/>
                <w:sz w:val="18"/>
                <w:szCs w:val="18"/>
                <w:lang w:val="en-US" w:eastAsia="en-US"/>
              </w:rPr>
              <w:t xml:space="preserve"> of a jointly controlled entity</w:t>
            </w:r>
          </w:p>
        </w:tc>
        <w:tc>
          <w:tcPr>
            <w:tcW w:w="1843" w:type="dxa"/>
            <w:tcBorders>
              <w:left w:val="single" w:sz="4" w:space="0" w:color="auto"/>
              <w:right w:val="single" w:sz="4" w:space="0" w:color="auto"/>
            </w:tcBorders>
            <w:noWrap/>
          </w:tcPr>
          <w:p w:rsidR="002E0E47" w:rsidRPr="008374DE" w:rsidRDefault="002E0E47" w:rsidP="000F2033">
            <w:pPr>
              <w:spacing w:after="0" w:line="240" w:lineRule="auto"/>
              <w:jc w:val="right"/>
              <w:rPr>
                <w:color w:val="000000"/>
                <w:sz w:val="18"/>
                <w:szCs w:val="18"/>
              </w:rPr>
            </w:pPr>
          </w:p>
        </w:tc>
        <w:tc>
          <w:tcPr>
            <w:tcW w:w="1842" w:type="dxa"/>
            <w:tcBorders>
              <w:left w:val="single" w:sz="4" w:space="0" w:color="auto"/>
              <w:right w:val="single" w:sz="4" w:space="0" w:color="auto"/>
            </w:tcBorders>
          </w:tcPr>
          <w:p w:rsidR="002E0E47" w:rsidRPr="008374DE" w:rsidRDefault="002E0E47" w:rsidP="000F2033">
            <w:pPr>
              <w:spacing w:after="0" w:line="240" w:lineRule="auto"/>
              <w:jc w:val="right"/>
              <w:rPr>
                <w:color w:val="000000"/>
                <w:sz w:val="18"/>
                <w:szCs w:val="18"/>
              </w:rPr>
            </w:pPr>
          </w:p>
        </w:tc>
      </w:tr>
      <w:tr w:rsidR="002E0E47" w:rsidRPr="008374DE" w:rsidTr="000F2033">
        <w:trPr>
          <w:trHeight w:val="315"/>
        </w:trPr>
        <w:tc>
          <w:tcPr>
            <w:tcW w:w="5949" w:type="dxa"/>
            <w:tcBorders>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color w:val="000000"/>
                <w:sz w:val="18"/>
                <w:szCs w:val="18"/>
                <w:lang w:val="en-US" w:eastAsia="en-US"/>
              </w:rPr>
            </w:pPr>
            <w:r w:rsidRPr="008374DE">
              <w:rPr>
                <w:rFonts w:eastAsia="Times New Roman" w:cs="Times New Roman"/>
                <w:color w:val="000000"/>
                <w:sz w:val="18"/>
                <w:szCs w:val="18"/>
                <w:lang w:val="en-US" w:eastAsia="en-US"/>
              </w:rPr>
              <w:t>- Realised</w:t>
            </w:r>
          </w:p>
        </w:tc>
        <w:tc>
          <w:tcPr>
            <w:tcW w:w="1843" w:type="dxa"/>
            <w:tcBorders>
              <w:left w:val="single" w:sz="4" w:space="0" w:color="auto"/>
              <w:right w:val="single" w:sz="4" w:space="0" w:color="auto"/>
            </w:tcBorders>
            <w:noWrap/>
          </w:tcPr>
          <w:p w:rsidR="002E0E47" w:rsidRPr="008374DE" w:rsidRDefault="002E0E47" w:rsidP="000F2033">
            <w:pPr>
              <w:spacing w:after="0" w:line="240" w:lineRule="auto"/>
              <w:jc w:val="right"/>
              <w:rPr>
                <w:color w:val="000000"/>
                <w:sz w:val="18"/>
                <w:szCs w:val="18"/>
              </w:rPr>
            </w:pPr>
            <w:r>
              <w:rPr>
                <w:rFonts w:eastAsia="Times New Roman" w:cs="Times New Roman"/>
                <w:color w:val="000000"/>
                <w:sz w:val="18"/>
                <w:szCs w:val="18"/>
                <w:lang w:val="en-US" w:eastAsia="en-US"/>
              </w:rPr>
              <w:t>-</w:t>
            </w:r>
          </w:p>
        </w:tc>
        <w:tc>
          <w:tcPr>
            <w:tcW w:w="1842" w:type="dxa"/>
            <w:tcBorders>
              <w:left w:val="single" w:sz="4" w:space="0" w:color="auto"/>
              <w:right w:val="single" w:sz="4" w:space="0" w:color="auto"/>
            </w:tcBorders>
          </w:tcPr>
          <w:p w:rsidR="002E0E47" w:rsidRPr="008374DE" w:rsidDel="004416B8" w:rsidRDefault="009A6796" w:rsidP="000F2033">
            <w:pPr>
              <w:spacing w:after="0" w:line="240" w:lineRule="auto"/>
              <w:jc w:val="right"/>
              <w:rPr>
                <w:color w:val="000000"/>
                <w:sz w:val="18"/>
                <w:szCs w:val="18"/>
              </w:rPr>
            </w:pPr>
            <w:r>
              <w:rPr>
                <w:color w:val="000000"/>
                <w:sz w:val="18"/>
                <w:szCs w:val="18"/>
              </w:rPr>
              <w:t>-</w:t>
            </w:r>
          </w:p>
        </w:tc>
      </w:tr>
      <w:tr w:rsidR="002E0E47" w:rsidRPr="008374DE" w:rsidTr="000F2033">
        <w:trPr>
          <w:trHeight w:val="315"/>
        </w:trPr>
        <w:tc>
          <w:tcPr>
            <w:tcW w:w="5949" w:type="dxa"/>
            <w:tcBorders>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color w:val="000000"/>
                <w:sz w:val="18"/>
                <w:szCs w:val="18"/>
                <w:lang w:val="en-US" w:eastAsia="en-US"/>
              </w:rPr>
            </w:pPr>
            <w:r w:rsidRPr="008374DE">
              <w:rPr>
                <w:rFonts w:eastAsia="Times New Roman" w:cs="Times New Roman"/>
                <w:color w:val="000000"/>
                <w:sz w:val="18"/>
                <w:szCs w:val="18"/>
                <w:lang w:val="en-US" w:eastAsia="en-US"/>
              </w:rPr>
              <w:t>- Unrealised</w:t>
            </w:r>
          </w:p>
        </w:tc>
        <w:tc>
          <w:tcPr>
            <w:tcW w:w="1843" w:type="dxa"/>
            <w:tcBorders>
              <w:left w:val="single" w:sz="4" w:space="0" w:color="auto"/>
              <w:bottom w:val="single" w:sz="4" w:space="0" w:color="auto"/>
              <w:right w:val="single" w:sz="4" w:space="0" w:color="auto"/>
            </w:tcBorders>
            <w:noWrap/>
          </w:tcPr>
          <w:p w:rsidR="002E0E47" w:rsidRPr="008374DE" w:rsidRDefault="002E0E47" w:rsidP="000F2033">
            <w:pPr>
              <w:spacing w:after="0" w:line="240" w:lineRule="auto"/>
              <w:jc w:val="right"/>
              <w:rPr>
                <w:color w:val="000000"/>
                <w:sz w:val="18"/>
                <w:szCs w:val="18"/>
              </w:rPr>
            </w:pPr>
            <w:r w:rsidRPr="008374DE">
              <w:rPr>
                <w:color w:val="000000"/>
                <w:sz w:val="18"/>
                <w:szCs w:val="18"/>
              </w:rPr>
              <w:t>-</w:t>
            </w:r>
          </w:p>
        </w:tc>
        <w:tc>
          <w:tcPr>
            <w:tcW w:w="1842" w:type="dxa"/>
            <w:tcBorders>
              <w:left w:val="single" w:sz="4" w:space="0" w:color="auto"/>
              <w:bottom w:val="single" w:sz="4" w:space="0" w:color="auto"/>
              <w:right w:val="single" w:sz="4" w:space="0" w:color="auto"/>
            </w:tcBorders>
          </w:tcPr>
          <w:p w:rsidR="002E0E47" w:rsidRPr="008374DE" w:rsidDel="004416B8" w:rsidRDefault="002E0E47" w:rsidP="000F2033">
            <w:pPr>
              <w:spacing w:after="0" w:line="240" w:lineRule="auto"/>
              <w:jc w:val="right"/>
              <w:rPr>
                <w:color w:val="000000"/>
                <w:sz w:val="18"/>
                <w:szCs w:val="18"/>
              </w:rPr>
            </w:pPr>
            <w:r w:rsidRPr="008374DE">
              <w:rPr>
                <w:color w:val="000000"/>
                <w:sz w:val="18"/>
                <w:szCs w:val="18"/>
              </w:rPr>
              <w:t>-</w:t>
            </w:r>
          </w:p>
        </w:tc>
      </w:tr>
      <w:tr w:rsidR="002E0E47" w:rsidRPr="008374DE" w:rsidTr="000F2033">
        <w:trPr>
          <w:trHeight w:val="315"/>
        </w:trPr>
        <w:tc>
          <w:tcPr>
            <w:tcW w:w="5949" w:type="dxa"/>
            <w:tcBorders>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color w:val="000000"/>
                <w:sz w:val="18"/>
                <w:szCs w:val="18"/>
                <w:lang w:val="en-US" w:eastAsia="en-US"/>
              </w:rPr>
            </w:pPr>
          </w:p>
        </w:tc>
        <w:tc>
          <w:tcPr>
            <w:tcW w:w="1843" w:type="dxa"/>
            <w:tcBorders>
              <w:top w:val="single" w:sz="4" w:space="0" w:color="auto"/>
              <w:left w:val="single" w:sz="4" w:space="0" w:color="auto"/>
              <w:right w:val="single" w:sz="4" w:space="0" w:color="auto"/>
            </w:tcBorders>
            <w:noWrap/>
          </w:tcPr>
          <w:p w:rsidR="002E0E47" w:rsidRPr="008374DE" w:rsidRDefault="00F920EE" w:rsidP="005F7FBF">
            <w:pPr>
              <w:spacing w:after="0" w:line="240" w:lineRule="auto"/>
              <w:jc w:val="right"/>
              <w:rPr>
                <w:color w:val="000000"/>
                <w:sz w:val="18"/>
                <w:szCs w:val="18"/>
              </w:rPr>
            </w:pPr>
            <w:r>
              <w:rPr>
                <w:rFonts w:eastAsia="Times New Roman" w:cs="Times New Roman"/>
                <w:color w:val="000000"/>
                <w:sz w:val="18"/>
                <w:szCs w:val="18"/>
                <w:lang w:val="en-US" w:eastAsia="en-US"/>
              </w:rPr>
              <w:t>(34,188)</w:t>
            </w:r>
          </w:p>
        </w:tc>
        <w:tc>
          <w:tcPr>
            <w:tcW w:w="1842" w:type="dxa"/>
            <w:tcBorders>
              <w:top w:val="single" w:sz="4" w:space="0" w:color="auto"/>
              <w:left w:val="single" w:sz="4" w:space="0" w:color="auto"/>
              <w:right w:val="single" w:sz="4" w:space="0" w:color="auto"/>
            </w:tcBorders>
          </w:tcPr>
          <w:p w:rsidR="002E0E47" w:rsidRPr="008374DE" w:rsidDel="004416B8" w:rsidRDefault="009A6796" w:rsidP="005F7FBF">
            <w:pPr>
              <w:spacing w:after="0" w:line="240" w:lineRule="auto"/>
              <w:jc w:val="right"/>
              <w:rPr>
                <w:color w:val="000000"/>
                <w:sz w:val="18"/>
                <w:szCs w:val="18"/>
              </w:rPr>
            </w:pPr>
            <w:r>
              <w:rPr>
                <w:color w:val="000000"/>
                <w:sz w:val="18"/>
                <w:szCs w:val="18"/>
              </w:rPr>
              <w:t>-</w:t>
            </w:r>
          </w:p>
        </w:tc>
      </w:tr>
      <w:tr w:rsidR="002E0E47" w:rsidRPr="008374DE" w:rsidTr="000F2033">
        <w:trPr>
          <w:trHeight w:val="315"/>
        </w:trPr>
        <w:tc>
          <w:tcPr>
            <w:tcW w:w="5949" w:type="dxa"/>
            <w:tcBorders>
              <w:left w:val="single" w:sz="4" w:space="0" w:color="auto"/>
              <w:right w:val="single" w:sz="4" w:space="0" w:color="auto"/>
            </w:tcBorders>
            <w:noWrap/>
          </w:tcPr>
          <w:p w:rsidR="002E0E47" w:rsidRPr="008374DE" w:rsidRDefault="002E0E47" w:rsidP="000F2033">
            <w:pPr>
              <w:spacing w:after="0" w:line="240" w:lineRule="auto"/>
              <w:rPr>
                <w:rFonts w:eastAsia="Times New Roman" w:cs="Times New Roman"/>
                <w:color w:val="000000"/>
                <w:sz w:val="18"/>
                <w:szCs w:val="18"/>
                <w:lang w:val="en-US" w:eastAsia="en-US"/>
              </w:rPr>
            </w:pPr>
            <w:r w:rsidRPr="008374DE">
              <w:rPr>
                <w:rFonts w:eastAsia="Times New Roman" w:cs="Times New Roman"/>
                <w:color w:val="000000"/>
                <w:sz w:val="18"/>
                <w:szCs w:val="18"/>
                <w:lang w:val="en-US" w:eastAsia="en-US"/>
              </w:rPr>
              <w:t>Add: Consolidation adjustments</w:t>
            </w:r>
          </w:p>
        </w:tc>
        <w:tc>
          <w:tcPr>
            <w:tcW w:w="1843" w:type="dxa"/>
            <w:tcBorders>
              <w:left w:val="single" w:sz="4" w:space="0" w:color="auto"/>
              <w:bottom w:val="single" w:sz="4" w:space="0" w:color="auto"/>
              <w:right w:val="single" w:sz="4" w:space="0" w:color="auto"/>
            </w:tcBorders>
            <w:noWrap/>
          </w:tcPr>
          <w:p w:rsidR="002E0E47" w:rsidRPr="008374DE" w:rsidRDefault="002E0E47" w:rsidP="000F2033">
            <w:pPr>
              <w:spacing w:after="0" w:line="240" w:lineRule="auto"/>
              <w:jc w:val="right"/>
              <w:rPr>
                <w:color w:val="000000"/>
                <w:sz w:val="18"/>
                <w:szCs w:val="18"/>
              </w:rPr>
            </w:pPr>
            <w:r>
              <w:rPr>
                <w:color w:val="000000"/>
                <w:sz w:val="18"/>
                <w:szCs w:val="18"/>
              </w:rPr>
              <w:t>-</w:t>
            </w:r>
          </w:p>
        </w:tc>
        <w:tc>
          <w:tcPr>
            <w:tcW w:w="1842" w:type="dxa"/>
            <w:tcBorders>
              <w:left w:val="single" w:sz="4" w:space="0" w:color="auto"/>
              <w:bottom w:val="single" w:sz="4" w:space="0" w:color="auto"/>
              <w:right w:val="single" w:sz="4" w:space="0" w:color="auto"/>
            </w:tcBorders>
          </w:tcPr>
          <w:p w:rsidR="002E0E47" w:rsidRPr="008374DE" w:rsidDel="004416B8" w:rsidRDefault="009A6796" w:rsidP="005F7FBF">
            <w:pPr>
              <w:spacing w:after="0" w:line="240" w:lineRule="auto"/>
              <w:jc w:val="right"/>
              <w:rPr>
                <w:color w:val="000000"/>
                <w:sz w:val="18"/>
                <w:szCs w:val="18"/>
              </w:rPr>
            </w:pPr>
            <w:r>
              <w:rPr>
                <w:color w:val="000000"/>
                <w:sz w:val="18"/>
                <w:szCs w:val="18"/>
              </w:rPr>
              <w:t>-</w:t>
            </w:r>
          </w:p>
        </w:tc>
      </w:tr>
      <w:tr w:rsidR="002E0E47" w:rsidRPr="008374DE" w:rsidTr="000F2033">
        <w:trPr>
          <w:trHeight w:val="315"/>
        </w:trPr>
        <w:tc>
          <w:tcPr>
            <w:tcW w:w="5949" w:type="dxa"/>
            <w:tcBorders>
              <w:left w:val="single" w:sz="4" w:space="0" w:color="auto"/>
              <w:bottom w:val="single" w:sz="4" w:space="0" w:color="auto"/>
              <w:right w:val="single" w:sz="4" w:space="0" w:color="auto"/>
            </w:tcBorders>
            <w:noWrap/>
          </w:tcPr>
          <w:p w:rsidR="002E0E47" w:rsidRPr="008374DE" w:rsidRDefault="002E0E47" w:rsidP="000F2033">
            <w:pPr>
              <w:spacing w:after="0" w:line="240" w:lineRule="auto"/>
              <w:rPr>
                <w:rFonts w:eastAsia="Times New Roman" w:cs="Times New Roman"/>
                <w:b/>
                <w:bCs/>
                <w:color w:val="000000"/>
                <w:sz w:val="18"/>
                <w:szCs w:val="18"/>
                <w:lang w:val="en-US" w:eastAsia="en-US"/>
              </w:rPr>
            </w:pPr>
            <w:r>
              <w:rPr>
                <w:rFonts w:eastAsia="Times New Roman" w:cs="Times New Roman"/>
                <w:b/>
                <w:bCs/>
                <w:color w:val="000000"/>
                <w:sz w:val="18"/>
                <w:szCs w:val="18"/>
                <w:lang w:val="en-US" w:eastAsia="en-US"/>
              </w:rPr>
              <w:t>Total Accumulated losses</w:t>
            </w:r>
          </w:p>
        </w:tc>
        <w:tc>
          <w:tcPr>
            <w:tcW w:w="1843" w:type="dxa"/>
            <w:tcBorders>
              <w:top w:val="single" w:sz="4" w:space="0" w:color="auto"/>
              <w:left w:val="single" w:sz="4" w:space="0" w:color="auto"/>
              <w:bottom w:val="single" w:sz="4" w:space="0" w:color="auto"/>
              <w:right w:val="single" w:sz="4" w:space="0" w:color="auto"/>
            </w:tcBorders>
            <w:noWrap/>
          </w:tcPr>
          <w:p w:rsidR="002E0E47" w:rsidRPr="008374DE" w:rsidRDefault="002E0E47" w:rsidP="00F920EE">
            <w:pPr>
              <w:spacing w:after="0" w:line="240" w:lineRule="auto"/>
              <w:jc w:val="right"/>
              <w:rPr>
                <w:rFonts w:eastAsia="Times New Roman" w:cs="Times New Roman"/>
                <w:b/>
                <w:bCs/>
                <w:color w:val="000000"/>
                <w:sz w:val="18"/>
                <w:szCs w:val="18"/>
                <w:lang w:val="en-US" w:eastAsia="en-US"/>
              </w:rPr>
            </w:pPr>
            <w:r>
              <w:rPr>
                <w:rFonts w:eastAsia="Times New Roman" w:cs="Times New Roman"/>
                <w:color w:val="000000"/>
                <w:sz w:val="18"/>
                <w:szCs w:val="18"/>
                <w:lang w:val="en-US" w:eastAsia="en-US"/>
              </w:rPr>
              <w:t>(3</w:t>
            </w:r>
            <w:r w:rsidR="00F920EE">
              <w:rPr>
                <w:rFonts w:eastAsia="Times New Roman" w:cs="Times New Roman"/>
                <w:color w:val="000000"/>
                <w:sz w:val="18"/>
                <w:szCs w:val="18"/>
                <w:lang w:val="en-US" w:eastAsia="en-US"/>
              </w:rPr>
              <w:t>4,188</w:t>
            </w:r>
            <w:r>
              <w:rPr>
                <w:rFonts w:eastAsia="Times New Roman" w:cs="Times New Roman"/>
                <w:color w:val="000000"/>
                <w:sz w:val="18"/>
                <w:szCs w:val="18"/>
                <w:lang w:val="en-US" w:eastAsia="en-US"/>
              </w:rPr>
              <w:t>)</w:t>
            </w:r>
          </w:p>
        </w:tc>
        <w:tc>
          <w:tcPr>
            <w:tcW w:w="1842" w:type="dxa"/>
            <w:tcBorders>
              <w:top w:val="single" w:sz="4" w:space="0" w:color="auto"/>
              <w:left w:val="single" w:sz="4" w:space="0" w:color="auto"/>
              <w:bottom w:val="single" w:sz="4" w:space="0" w:color="auto"/>
              <w:right w:val="single" w:sz="4" w:space="0" w:color="auto"/>
            </w:tcBorders>
          </w:tcPr>
          <w:p w:rsidR="002E0E47" w:rsidRPr="00C60145" w:rsidDel="004416B8" w:rsidRDefault="009A6796" w:rsidP="005F7FBF">
            <w:pPr>
              <w:spacing w:after="0" w:line="240" w:lineRule="auto"/>
              <w:jc w:val="right"/>
              <w:rPr>
                <w:color w:val="000000"/>
                <w:sz w:val="18"/>
                <w:szCs w:val="18"/>
              </w:rPr>
            </w:pPr>
            <w:r>
              <w:rPr>
                <w:color w:val="000000"/>
                <w:sz w:val="18"/>
                <w:szCs w:val="18"/>
              </w:rPr>
              <w:t>-</w:t>
            </w:r>
          </w:p>
        </w:tc>
      </w:tr>
    </w:tbl>
    <w:p w:rsidR="00195C28" w:rsidRDefault="00195C28" w:rsidP="00CB68FB">
      <w:pPr>
        <w:spacing w:after="0" w:line="240" w:lineRule="auto"/>
        <w:rPr>
          <w:rFonts w:asciiTheme="minorHAnsi" w:hAnsiTheme="minorHAnsi" w:cs="Times New Roman"/>
          <w:b/>
          <w:bCs/>
          <w:sz w:val="20"/>
          <w:szCs w:val="20"/>
        </w:rPr>
      </w:pPr>
    </w:p>
    <w:p w:rsidR="00C04237" w:rsidRDefault="00C04237" w:rsidP="00CB68FB">
      <w:pPr>
        <w:spacing w:after="0" w:line="240" w:lineRule="auto"/>
        <w:rPr>
          <w:rFonts w:asciiTheme="minorHAnsi" w:hAnsiTheme="minorHAnsi" w:cs="Times New Roman"/>
          <w:b/>
          <w:bCs/>
          <w:sz w:val="20"/>
          <w:szCs w:val="20"/>
        </w:rPr>
      </w:pPr>
    </w:p>
    <w:p w:rsidR="00C04237" w:rsidRDefault="00C04237" w:rsidP="00CB68FB">
      <w:pPr>
        <w:spacing w:after="0" w:line="240" w:lineRule="auto"/>
        <w:rPr>
          <w:rFonts w:asciiTheme="minorHAnsi" w:hAnsiTheme="minorHAnsi" w:cs="Times New Roman"/>
          <w:b/>
          <w:bCs/>
          <w:sz w:val="20"/>
          <w:szCs w:val="20"/>
        </w:rPr>
      </w:pPr>
    </w:p>
    <w:p w:rsidR="00C04237" w:rsidRDefault="00C04237" w:rsidP="00CB68FB">
      <w:pPr>
        <w:spacing w:after="0" w:line="240" w:lineRule="auto"/>
        <w:rPr>
          <w:rFonts w:asciiTheme="minorHAnsi" w:hAnsiTheme="minorHAnsi" w:cs="Times New Roman"/>
          <w:b/>
          <w:bCs/>
          <w:sz w:val="20"/>
          <w:szCs w:val="20"/>
        </w:rPr>
      </w:pPr>
    </w:p>
    <w:p w:rsidR="00C04237" w:rsidRDefault="00C04237" w:rsidP="00CB68FB">
      <w:pPr>
        <w:spacing w:after="0" w:line="240" w:lineRule="auto"/>
        <w:rPr>
          <w:rFonts w:asciiTheme="minorHAnsi" w:hAnsiTheme="minorHAnsi" w:cs="Times New Roman"/>
          <w:b/>
          <w:bCs/>
          <w:sz w:val="20"/>
          <w:szCs w:val="20"/>
        </w:rPr>
      </w:pPr>
    </w:p>
    <w:p w:rsidR="00C04237" w:rsidRDefault="00C04237" w:rsidP="00CB68FB">
      <w:pPr>
        <w:spacing w:after="0" w:line="240" w:lineRule="auto"/>
        <w:rPr>
          <w:rFonts w:asciiTheme="minorHAnsi" w:hAnsiTheme="minorHAnsi" w:cs="Times New Roman"/>
          <w:b/>
          <w:bCs/>
          <w:sz w:val="20"/>
          <w:szCs w:val="20"/>
        </w:rPr>
      </w:pPr>
    </w:p>
    <w:p w:rsidR="00C04237" w:rsidRPr="008374DE" w:rsidRDefault="00C04237" w:rsidP="00C04237">
      <w:pPr>
        <w:spacing w:after="0" w:line="240" w:lineRule="auto"/>
        <w:rPr>
          <w:rFonts w:asciiTheme="minorHAnsi" w:hAnsiTheme="minorHAnsi"/>
          <w:b/>
          <w:bCs/>
          <w:sz w:val="20"/>
          <w:szCs w:val="20"/>
        </w:rPr>
      </w:pPr>
      <w:r w:rsidRPr="008374DE">
        <w:rPr>
          <w:rFonts w:asciiTheme="minorHAnsi" w:hAnsiTheme="minorHAnsi"/>
          <w:b/>
          <w:bCs/>
          <w:sz w:val="20"/>
          <w:szCs w:val="20"/>
        </w:rPr>
        <w:t xml:space="preserve">QUARTERLY REPORT ON CONSOLIDATED RESULTS </w:t>
      </w:r>
    </w:p>
    <w:p w:rsidR="00C04237" w:rsidRPr="00AD0637" w:rsidRDefault="00C04237" w:rsidP="00C33B1C">
      <w:pPr>
        <w:spacing w:after="0" w:line="240" w:lineRule="auto"/>
        <w:rPr>
          <w:rFonts w:asciiTheme="minorHAnsi" w:hAnsiTheme="minorHAnsi"/>
          <w:sz w:val="20"/>
          <w:szCs w:val="20"/>
        </w:rPr>
      </w:pPr>
      <w:r w:rsidRPr="008374DE">
        <w:rPr>
          <w:rFonts w:asciiTheme="minorHAnsi" w:hAnsiTheme="minorHAnsi"/>
          <w:b/>
          <w:bCs/>
          <w:sz w:val="20"/>
          <w:szCs w:val="20"/>
        </w:rPr>
        <w:t xml:space="preserve">Quarterly Report for the </w:t>
      </w:r>
      <w:r w:rsidR="00F920EE">
        <w:rPr>
          <w:rFonts w:asciiTheme="minorHAnsi" w:hAnsiTheme="minorHAnsi"/>
          <w:b/>
          <w:bCs/>
          <w:sz w:val="20"/>
          <w:szCs w:val="20"/>
        </w:rPr>
        <w:t>Month</w:t>
      </w:r>
      <w:r w:rsidRPr="008374DE">
        <w:rPr>
          <w:rFonts w:asciiTheme="minorHAnsi" w:hAnsiTheme="minorHAnsi"/>
          <w:b/>
          <w:bCs/>
          <w:sz w:val="20"/>
          <w:szCs w:val="20"/>
        </w:rPr>
        <w:t xml:space="preserve"> Ended </w:t>
      </w:r>
      <w:r w:rsidR="00A94CA5">
        <w:rPr>
          <w:rFonts w:asciiTheme="minorHAnsi" w:hAnsiTheme="minorHAnsi"/>
          <w:b/>
          <w:bCs/>
          <w:sz w:val="20"/>
          <w:szCs w:val="20"/>
        </w:rPr>
        <w:t>3</w:t>
      </w:r>
      <w:r w:rsidR="00F920EE">
        <w:rPr>
          <w:rFonts w:asciiTheme="minorHAnsi" w:hAnsiTheme="minorHAnsi"/>
          <w:b/>
          <w:bCs/>
          <w:sz w:val="20"/>
          <w:szCs w:val="20"/>
        </w:rPr>
        <w:t>1 July</w:t>
      </w:r>
      <w:r w:rsidR="00A94CA5">
        <w:rPr>
          <w:rFonts w:asciiTheme="minorHAnsi" w:hAnsiTheme="minorHAnsi"/>
          <w:b/>
          <w:bCs/>
          <w:sz w:val="20"/>
          <w:szCs w:val="20"/>
        </w:rPr>
        <w:t xml:space="preserve"> </w:t>
      </w:r>
      <w:r w:rsidR="00C33B1C">
        <w:rPr>
          <w:rFonts w:asciiTheme="minorHAnsi" w:hAnsiTheme="minorHAnsi"/>
          <w:b/>
          <w:bCs/>
          <w:sz w:val="20"/>
          <w:szCs w:val="20"/>
        </w:rPr>
        <w:t>2016</w:t>
      </w:r>
    </w:p>
    <w:p w:rsidR="0036278B" w:rsidRDefault="0036278B" w:rsidP="00C04237">
      <w:pPr>
        <w:spacing w:after="0" w:line="240" w:lineRule="auto"/>
        <w:ind w:left="720" w:hanging="720"/>
        <w:jc w:val="both"/>
        <w:rPr>
          <w:rFonts w:asciiTheme="minorHAnsi" w:hAnsiTheme="minorHAnsi"/>
          <w:b/>
          <w:bCs/>
          <w:sz w:val="20"/>
          <w:szCs w:val="20"/>
        </w:rPr>
      </w:pPr>
    </w:p>
    <w:p w:rsidR="0036278B" w:rsidRDefault="0036278B" w:rsidP="00C04237">
      <w:pPr>
        <w:spacing w:after="0" w:line="240" w:lineRule="auto"/>
        <w:ind w:left="720" w:hanging="720"/>
        <w:jc w:val="both"/>
        <w:rPr>
          <w:rFonts w:asciiTheme="minorHAnsi" w:hAnsiTheme="minorHAnsi"/>
          <w:b/>
          <w:bCs/>
          <w:sz w:val="20"/>
          <w:szCs w:val="20"/>
        </w:rPr>
      </w:pPr>
    </w:p>
    <w:p w:rsidR="00C04237" w:rsidRPr="008374DE" w:rsidRDefault="00C04237" w:rsidP="00C04237">
      <w:pPr>
        <w:spacing w:after="0" w:line="240" w:lineRule="auto"/>
        <w:ind w:left="720" w:hanging="720"/>
        <w:jc w:val="both"/>
        <w:rPr>
          <w:rFonts w:asciiTheme="minorHAnsi" w:hAnsiTheme="minorHAnsi" w:cs="Times New Roman"/>
          <w:b/>
          <w:bCs/>
          <w:sz w:val="20"/>
          <w:szCs w:val="20"/>
        </w:rPr>
      </w:pPr>
      <w:r w:rsidRPr="008374DE">
        <w:rPr>
          <w:rFonts w:asciiTheme="minorHAnsi" w:hAnsiTheme="minorHAnsi"/>
          <w:b/>
          <w:bCs/>
          <w:sz w:val="20"/>
          <w:szCs w:val="20"/>
        </w:rPr>
        <w:t xml:space="preserve">B: </w:t>
      </w:r>
      <w:r w:rsidRPr="008374DE">
        <w:rPr>
          <w:rFonts w:asciiTheme="minorHAnsi" w:hAnsiTheme="minorHAnsi" w:cs="Times New Roman"/>
          <w:b/>
          <w:bCs/>
          <w:sz w:val="20"/>
          <w:szCs w:val="20"/>
        </w:rPr>
        <w:tab/>
      </w:r>
      <w:r w:rsidRPr="008374DE">
        <w:rPr>
          <w:rFonts w:asciiTheme="minorHAnsi" w:hAnsiTheme="minorHAnsi"/>
          <w:b/>
          <w:bCs/>
          <w:sz w:val="20"/>
          <w:szCs w:val="20"/>
        </w:rPr>
        <w:t>EXPLANATORY NOTES PURSUANT TO APPENDIX 9B OF THE ACE MARKET LISTING REQUIREMENTS OF BURSA SECURITIES</w:t>
      </w:r>
      <w:r>
        <w:rPr>
          <w:rFonts w:asciiTheme="minorHAnsi" w:hAnsiTheme="minorHAnsi"/>
          <w:b/>
          <w:bCs/>
          <w:sz w:val="20"/>
          <w:szCs w:val="20"/>
        </w:rPr>
        <w:t xml:space="preserve"> (CONT’D)</w:t>
      </w:r>
    </w:p>
    <w:p w:rsidR="00C04237" w:rsidRDefault="00C04237" w:rsidP="00CB68FB">
      <w:pPr>
        <w:spacing w:after="0" w:line="240" w:lineRule="auto"/>
        <w:rPr>
          <w:rFonts w:asciiTheme="minorHAnsi" w:hAnsiTheme="minorHAnsi" w:cs="Times New Roman"/>
          <w:b/>
          <w:bCs/>
          <w:sz w:val="20"/>
          <w:szCs w:val="20"/>
        </w:rPr>
      </w:pPr>
    </w:p>
    <w:p w:rsidR="004A40C0" w:rsidRPr="008374DE" w:rsidRDefault="004A40C0" w:rsidP="00CB68FB">
      <w:pPr>
        <w:spacing w:after="0" w:line="240" w:lineRule="auto"/>
        <w:rPr>
          <w:rFonts w:asciiTheme="minorHAnsi" w:hAnsiTheme="minorHAnsi" w:cs="Times New Roman"/>
          <w:b/>
          <w:bCs/>
          <w:sz w:val="20"/>
          <w:szCs w:val="20"/>
        </w:rPr>
      </w:pPr>
    </w:p>
    <w:p w:rsidR="004A40C0" w:rsidRPr="008374DE" w:rsidRDefault="00785380" w:rsidP="00CB68FB">
      <w:pPr>
        <w:spacing w:after="0" w:line="240" w:lineRule="auto"/>
        <w:rPr>
          <w:rFonts w:asciiTheme="minorHAnsi" w:hAnsiTheme="minorHAnsi"/>
          <w:b/>
          <w:bCs/>
          <w:sz w:val="20"/>
          <w:szCs w:val="20"/>
        </w:rPr>
      </w:pPr>
      <w:r>
        <w:rPr>
          <w:rFonts w:asciiTheme="minorHAnsi" w:hAnsiTheme="minorHAnsi"/>
          <w:b/>
          <w:bCs/>
          <w:sz w:val="20"/>
          <w:szCs w:val="20"/>
        </w:rPr>
        <w:t>B13</w:t>
      </w:r>
      <w:r w:rsidR="004A40C0" w:rsidRPr="008374DE">
        <w:rPr>
          <w:rFonts w:asciiTheme="minorHAnsi" w:hAnsiTheme="minorHAnsi"/>
          <w:b/>
          <w:bCs/>
          <w:sz w:val="20"/>
          <w:szCs w:val="20"/>
        </w:rPr>
        <w:t>. Authorisation for issue</w:t>
      </w:r>
    </w:p>
    <w:p w:rsidR="004A40C0" w:rsidRPr="008374DE" w:rsidRDefault="004A40C0" w:rsidP="00CB68FB">
      <w:pPr>
        <w:spacing w:after="0" w:line="240" w:lineRule="auto"/>
        <w:rPr>
          <w:rFonts w:asciiTheme="minorHAnsi" w:hAnsiTheme="minorHAnsi"/>
          <w:b/>
          <w:bCs/>
          <w:sz w:val="20"/>
          <w:szCs w:val="20"/>
        </w:rPr>
      </w:pPr>
    </w:p>
    <w:p w:rsidR="004A40C0" w:rsidRPr="008374DE" w:rsidRDefault="004A40C0" w:rsidP="00F73DB5">
      <w:pPr>
        <w:spacing w:after="0" w:line="240" w:lineRule="auto"/>
        <w:jc w:val="both"/>
        <w:rPr>
          <w:rFonts w:asciiTheme="minorHAnsi" w:hAnsiTheme="minorHAnsi"/>
          <w:sz w:val="20"/>
          <w:szCs w:val="20"/>
        </w:rPr>
      </w:pPr>
      <w:r w:rsidRPr="008374DE">
        <w:rPr>
          <w:rFonts w:asciiTheme="minorHAnsi" w:hAnsiTheme="minorHAnsi"/>
          <w:sz w:val="20"/>
          <w:szCs w:val="20"/>
        </w:rPr>
        <w:t>The interim financial statement</w:t>
      </w:r>
      <w:r w:rsidR="006E0A0A">
        <w:rPr>
          <w:rFonts w:asciiTheme="minorHAnsi" w:hAnsiTheme="minorHAnsi"/>
          <w:sz w:val="20"/>
          <w:szCs w:val="20"/>
        </w:rPr>
        <w:t>s</w:t>
      </w:r>
      <w:r w:rsidRPr="008374DE">
        <w:rPr>
          <w:rFonts w:asciiTheme="minorHAnsi" w:hAnsiTheme="minorHAnsi"/>
          <w:sz w:val="20"/>
          <w:szCs w:val="20"/>
        </w:rPr>
        <w:t xml:space="preserve"> were authorised for issue by the Board of Directors in accordance with a resolution of the directors</w:t>
      </w:r>
      <w:r w:rsidR="006E0A0A">
        <w:rPr>
          <w:rFonts w:asciiTheme="minorHAnsi" w:hAnsiTheme="minorHAnsi"/>
          <w:sz w:val="20"/>
          <w:szCs w:val="20"/>
        </w:rPr>
        <w:t xml:space="preserve"> dated</w:t>
      </w:r>
      <w:r w:rsidR="00050BEE">
        <w:rPr>
          <w:rFonts w:asciiTheme="minorHAnsi" w:hAnsiTheme="minorHAnsi"/>
          <w:sz w:val="20"/>
          <w:szCs w:val="20"/>
        </w:rPr>
        <w:t xml:space="preserve"> </w:t>
      </w:r>
      <w:r w:rsidR="00310BB6">
        <w:rPr>
          <w:rFonts w:asciiTheme="minorHAnsi" w:hAnsiTheme="minorHAnsi"/>
          <w:sz w:val="20"/>
          <w:szCs w:val="20"/>
        </w:rPr>
        <w:t>30</w:t>
      </w:r>
      <w:r w:rsidR="0069183A">
        <w:rPr>
          <w:rFonts w:asciiTheme="minorHAnsi" w:hAnsiTheme="minorHAnsi"/>
          <w:sz w:val="20"/>
          <w:szCs w:val="20"/>
        </w:rPr>
        <w:t xml:space="preserve"> September</w:t>
      </w:r>
      <w:r w:rsidR="00A82484">
        <w:rPr>
          <w:rFonts w:asciiTheme="minorHAnsi" w:hAnsiTheme="minorHAnsi"/>
          <w:sz w:val="20"/>
          <w:szCs w:val="20"/>
        </w:rPr>
        <w:t xml:space="preserve"> </w:t>
      </w:r>
      <w:r w:rsidR="00050BEE">
        <w:rPr>
          <w:rFonts w:asciiTheme="minorHAnsi" w:hAnsiTheme="minorHAnsi"/>
          <w:sz w:val="20"/>
          <w:szCs w:val="20"/>
        </w:rPr>
        <w:t>2016</w:t>
      </w:r>
      <w:r w:rsidR="006E0A0A">
        <w:rPr>
          <w:rFonts w:asciiTheme="minorHAnsi" w:hAnsiTheme="minorHAnsi"/>
          <w:sz w:val="20"/>
          <w:szCs w:val="20"/>
        </w:rPr>
        <w:t xml:space="preserve"> </w:t>
      </w:r>
      <w:r w:rsidRPr="008374DE">
        <w:rPr>
          <w:rFonts w:asciiTheme="minorHAnsi" w:hAnsiTheme="minorHAnsi"/>
          <w:sz w:val="20"/>
          <w:szCs w:val="20"/>
        </w:rPr>
        <w:t>.</w:t>
      </w:r>
    </w:p>
    <w:p w:rsidR="007909BE" w:rsidRDefault="007909BE" w:rsidP="00CB68FB">
      <w:pPr>
        <w:spacing w:after="0" w:line="240" w:lineRule="auto"/>
        <w:rPr>
          <w:rFonts w:asciiTheme="minorHAnsi" w:hAnsiTheme="minorHAnsi"/>
          <w:b/>
          <w:bCs/>
          <w:sz w:val="20"/>
          <w:szCs w:val="20"/>
        </w:rPr>
      </w:pPr>
    </w:p>
    <w:p w:rsidR="00362D24" w:rsidRDefault="00362D24" w:rsidP="00CB68FB">
      <w:pPr>
        <w:spacing w:after="0" w:line="240" w:lineRule="auto"/>
        <w:rPr>
          <w:rFonts w:asciiTheme="minorHAnsi" w:hAnsiTheme="minorHAnsi"/>
          <w:b/>
          <w:bCs/>
          <w:sz w:val="20"/>
          <w:szCs w:val="20"/>
        </w:rPr>
      </w:pPr>
    </w:p>
    <w:p w:rsidR="00362D24" w:rsidRDefault="00362D24" w:rsidP="00CB68FB">
      <w:pPr>
        <w:spacing w:after="0" w:line="240" w:lineRule="auto"/>
        <w:rPr>
          <w:rFonts w:asciiTheme="minorHAnsi" w:hAnsiTheme="minorHAnsi"/>
          <w:b/>
          <w:bCs/>
          <w:sz w:val="20"/>
          <w:szCs w:val="20"/>
        </w:rPr>
      </w:pPr>
    </w:p>
    <w:p w:rsidR="00D4552A" w:rsidRPr="008374DE" w:rsidRDefault="00996521" w:rsidP="00D4552A">
      <w:pPr>
        <w:spacing w:after="0" w:line="240" w:lineRule="auto"/>
        <w:rPr>
          <w:rFonts w:asciiTheme="minorHAnsi" w:hAnsiTheme="minorHAnsi"/>
          <w:b/>
          <w:bCs/>
          <w:sz w:val="20"/>
          <w:szCs w:val="20"/>
        </w:rPr>
      </w:pPr>
      <w:r>
        <w:rPr>
          <w:rFonts w:asciiTheme="minorHAnsi" w:hAnsiTheme="minorHAnsi"/>
          <w:b/>
          <w:bCs/>
          <w:sz w:val="20"/>
          <w:szCs w:val="20"/>
        </w:rPr>
        <w:t>SMTRACK</w:t>
      </w:r>
      <w:r w:rsidR="00D4552A" w:rsidRPr="008374DE">
        <w:rPr>
          <w:rFonts w:asciiTheme="minorHAnsi" w:hAnsiTheme="minorHAnsi"/>
          <w:b/>
          <w:bCs/>
          <w:sz w:val="20"/>
          <w:szCs w:val="20"/>
        </w:rPr>
        <w:t xml:space="preserve"> BERHAD</w:t>
      </w:r>
    </w:p>
    <w:p w:rsidR="00D454C3" w:rsidRDefault="00310BB6" w:rsidP="00D454C3">
      <w:pPr>
        <w:spacing w:after="0" w:line="240" w:lineRule="auto"/>
        <w:rPr>
          <w:rFonts w:asciiTheme="minorHAnsi" w:hAnsiTheme="minorHAnsi"/>
          <w:sz w:val="20"/>
          <w:szCs w:val="20"/>
        </w:rPr>
      </w:pPr>
      <w:r>
        <w:rPr>
          <w:rFonts w:asciiTheme="minorHAnsi" w:hAnsiTheme="minorHAnsi"/>
          <w:sz w:val="20"/>
          <w:szCs w:val="20"/>
        </w:rPr>
        <w:t xml:space="preserve">30 </w:t>
      </w:r>
      <w:r w:rsidR="0069183A">
        <w:rPr>
          <w:rFonts w:asciiTheme="minorHAnsi" w:hAnsiTheme="minorHAnsi"/>
          <w:sz w:val="20"/>
          <w:szCs w:val="20"/>
        </w:rPr>
        <w:t xml:space="preserve">September </w:t>
      </w:r>
      <w:r w:rsidR="009E75CD" w:rsidRPr="00C04237">
        <w:rPr>
          <w:rFonts w:asciiTheme="minorHAnsi" w:hAnsiTheme="minorHAnsi"/>
          <w:sz w:val="20"/>
          <w:szCs w:val="20"/>
        </w:rPr>
        <w:t>201</w:t>
      </w:r>
      <w:r w:rsidR="005645F3" w:rsidRPr="00C04237">
        <w:rPr>
          <w:rFonts w:asciiTheme="minorHAnsi" w:hAnsiTheme="minorHAnsi"/>
          <w:sz w:val="20"/>
          <w:szCs w:val="20"/>
        </w:rPr>
        <w:t>6</w:t>
      </w:r>
    </w:p>
    <w:p w:rsidR="004A40C0" w:rsidRDefault="004A40C0" w:rsidP="00D454C3">
      <w:pPr>
        <w:spacing w:after="0" w:line="240" w:lineRule="auto"/>
        <w:rPr>
          <w:sz w:val="20"/>
          <w:szCs w:val="20"/>
        </w:rPr>
      </w:pPr>
      <w:r w:rsidRPr="008374DE">
        <w:rPr>
          <w:sz w:val="20"/>
          <w:szCs w:val="20"/>
        </w:rPr>
        <w:t>BY ORDER OF THE BOARD</w:t>
      </w:r>
    </w:p>
    <w:p w:rsidR="00545AD1" w:rsidRDefault="00545AD1" w:rsidP="00D454C3">
      <w:pPr>
        <w:spacing w:after="0" w:line="240" w:lineRule="auto"/>
        <w:rPr>
          <w:sz w:val="20"/>
          <w:szCs w:val="20"/>
        </w:rPr>
      </w:pPr>
    </w:p>
    <w:sectPr w:rsidR="00545AD1" w:rsidSect="003C3C96">
      <w:headerReference w:type="default" r:id="rId12"/>
      <w:pgSz w:w="11906" w:h="16838"/>
      <w:pgMar w:top="1418" w:right="851" w:bottom="1134" w:left="851" w:header="90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2E" w:rsidRDefault="00527B2E" w:rsidP="00502A91">
      <w:pPr>
        <w:spacing w:after="0" w:line="240" w:lineRule="auto"/>
        <w:rPr>
          <w:rFonts w:cs="Times New Roman"/>
        </w:rPr>
      </w:pPr>
      <w:r>
        <w:rPr>
          <w:rFonts w:cs="Times New Roman"/>
        </w:rPr>
        <w:separator/>
      </w:r>
    </w:p>
  </w:endnote>
  <w:endnote w:type="continuationSeparator" w:id="0">
    <w:p w:rsidR="00527B2E" w:rsidRDefault="00527B2E" w:rsidP="00502A91">
      <w:pPr>
        <w:spacing w:after="0" w:line="240" w:lineRule="auto"/>
        <w:rPr>
          <w:rFonts w:cs="Times New Roman"/>
        </w:rPr>
      </w:pPr>
      <w:r>
        <w:rPr>
          <w:rFonts w:cs="Times New Roman"/>
        </w:rPr>
        <w:continuationSeparator/>
      </w:r>
    </w:p>
  </w:endnote>
  <w:endnote w:type="continuationNotice" w:id="1">
    <w:p w:rsidR="00527B2E" w:rsidRDefault="00527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AvantGardeStd-B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96" w:rsidRDefault="009A6796">
    <w:pPr>
      <w:pStyle w:val="Footer"/>
      <w:jc w:val="center"/>
    </w:pPr>
    <w:r>
      <w:fldChar w:fldCharType="begin"/>
    </w:r>
    <w:r>
      <w:instrText xml:space="preserve"> PAGE   \* MERGEFORMAT </w:instrText>
    </w:r>
    <w:r>
      <w:fldChar w:fldCharType="separate"/>
    </w:r>
    <w:r w:rsidR="00217922">
      <w:rPr>
        <w:noProof/>
      </w:rPr>
      <w:t>6</w:t>
    </w:r>
    <w:r>
      <w:rPr>
        <w:noProof/>
      </w:rPr>
      <w:fldChar w:fldCharType="end"/>
    </w:r>
  </w:p>
  <w:p w:rsidR="009A6796" w:rsidRDefault="009A6796">
    <w:pPr>
      <w:pStyle w:val="Footer"/>
    </w:pPr>
  </w:p>
  <w:p w:rsidR="009A6796" w:rsidRDefault="009A67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2E" w:rsidRDefault="00527B2E" w:rsidP="00502A91">
      <w:pPr>
        <w:spacing w:after="0" w:line="240" w:lineRule="auto"/>
        <w:rPr>
          <w:rFonts w:cs="Times New Roman"/>
        </w:rPr>
      </w:pPr>
      <w:r>
        <w:rPr>
          <w:rFonts w:cs="Times New Roman"/>
        </w:rPr>
        <w:separator/>
      </w:r>
    </w:p>
  </w:footnote>
  <w:footnote w:type="continuationSeparator" w:id="0">
    <w:p w:rsidR="00527B2E" w:rsidRDefault="00527B2E" w:rsidP="00502A91">
      <w:pPr>
        <w:spacing w:after="0" w:line="240" w:lineRule="auto"/>
        <w:rPr>
          <w:rFonts w:cs="Times New Roman"/>
        </w:rPr>
      </w:pPr>
      <w:r>
        <w:rPr>
          <w:rFonts w:cs="Times New Roman"/>
        </w:rPr>
        <w:continuationSeparator/>
      </w:r>
    </w:p>
  </w:footnote>
  <w:footnote w:type="continuationNotice" w:id="1">
    <w:p w:rsidR="00527B2E" w:rsidRDefault="00527B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96" w:rsidRPr="00367F0E" w:rsidRDefault="009A6796" w:rsidP="00B13DE2">
    <w:pPr>
      <w:pStyle w:val="NoSpacing"/>
      <w:rPr>
        <w:sz w:val="24"/>
        <w:szCs w:val="24"/>
      </w:rPr>
    </w:pPr>
    <w:r w:rsidRPr="00367F0E">
      <w:rPr>
        <w:noProof/>
        <w:sz w:val="24"/>
        <w:szCs w:val="24"/>
      </w:rPr>
      <w:drawing>
        <wp:anchor distT="0" distB="0" distL="114300" distR="114300" simplePos="0" relativeHeight="251655168" behindDoc="0" locked="0" layoutInCell="1" allowOverlap="1">
          <wp:simplePos x="0" y="0"/>
          <wp:positionH relativeFrom="column">
            <wp:posOffset>4803140</wp:posOffset>
          </wp:positionH>
          <wp:positionV relativeFrom="paragraph">
            <wp:posOffset>-34290</wp:posOffset>
          </wp:positionV>
          <wp:extent cx="1647825" cy="371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7825" cy="371475"/>
                  </a:xfrm>
                  <a:prstGeom prst="rect">
                    <a:avLst/>
                  </a:prstGeom>
                </pic:spPr>
              </pic:pic>
            </a:graphicData>
          </a:graphic>
        </wp:anchor>
      </w:drawing>
    </w:r>
    <w:r w:rsidRPr="00367F0E">
      <w:rPr>
        <w:sz w:val="24"/>
        <w:szCs w:val="24"/>
      </w:rPr>
      <w:t xml:space="preserve">SMTRACK BERHAD </w:t>
    </w:r>
    <w:r w:rsidRPr="00595EE7">
      <w:rPr>
        <w:sz w:val="16"/>
        <w:szCs w:val="16"/>
      </w:rPr>
      <w:t>(639421-X)</w:t>
    </w:r>
  </w:p>
  <w:p w:rsidR="009A6796" w:rsidRPr="00B13DE2" w:rsidRDefault="009A6796" w:rsidP="00B13DE2">
    <w:pPr>
      <w:pStyle w:val="NoSpacing"/>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96" w:rsidRDefault="009A6796" w:rsidP="00595EE7">
    <w:pPr>
      <w:pStyle w:val="NoSpacing"/>
      <w:rPr>
        <w:noProof/>
        <w:sz w:val="28"/>
        <w:szCs w:val="28"/>
      </w:rPr>
    </w:pPr>
    <w:r w:rsidRPr="00595EE7">
      <w:rPr>
        <w:noProof/>
        <w:sz w:val="24"/>
        <w:szCs w:val="24"/>
      </w:rPr>
      <w:drawing>
        <wp:anchor distT="0" distB="0" distL="114300" distR="114300" simplePos="0" relativeHeight="251657216" behindDoc="0" locked="0" layoutInCell="1" allowOverlap="1">
          <wp:simplePos x="0" y="0"/>
          <wp:positionH relativeFrom="margin">
            <wp:align>right</wp:align>
          </wp:positionH>
          <wp:positionV relativeFrom="paragraph">
            <wp:posOffset>-34290</wp:posOffset>
          </wp:positionV>
          <wp:extent cx="1647825" cy="3714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7825" cy="371475"/>
                  </a:xfrm>
                  <a:prstGeom prst="rect">
                    <a:avLst/>
                  </a:prstGeom>
                </pic:spPr>
              </pic:pic>
            </a:graphicData>
          </a:graphic>
        </wp:anchor>
      </w:drawing>
    </w:r>
    <w:r w:rsidRPr="00595EE7">
      <w:rPr>
        <w:sz w:val="24"/>
        <w:szCs w:val="24"/>
      </w:rPr>
      <w:t>SMT</w:t>
    </w:r>
    <w:r>
      <w:rPr>
        <w:sz w:val="24"/>
        <w:szCs w:val="24"/>
      </w:rPr>
      <w:t>R</w:t>
    </w:r>
    <w:r w:rsidRPr="00595EE7">
      <w:rPr>
        <w:sz w:val="24"/>
        <w:szCs w:val="24"/>
      </w:rPr>
      <w:t>A</w:t>
    </w:r>
    <w:r>
      <w:rPr>
        <w:sz w:val="24"/>
        <w:szCs w:val="24"/>
      </w:rPr>
      <w:t>CK</w:t>
    </w:r>
    <w:r w:rsidRPr="00595EE7">
      <w:rPr>
        <w:sz w:val="24"/>
        <w:szCs w:val="24"/>
      </w:rPr>
      <w:t xml:space="preserve"> BERHAD</w:t>
    </w:r>
    <w:r w:rsidRPr="00707789">
      <w:rPr>
        <w:sz w:val="16"/>
        <w:szCs w:val="16"/>
      </w:rPr>
      <w:t>(639421-X)</w:t>
    </w:r>
  </w:p>
  <w:p w:rsidR="009A6796" w:rsidRPr="00595EE7" w:rsidRDefault="009A6796" w:rsidP="00595EE7">
    <w:pPr>
      <w:pStyle w:val="NoSpacing"/>
      <w:contextualSpacing/>
      <w:rPr>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96" w:rsidRDefault="009A6796" w:rsidP="00563776">
    <w:pPr>
      <w:pStyle w:val="NoSpacing"/>
      <w:rPr>
        <w:noProof/>
      </w:rPr>
    </w:pPr>
    <w:r w:rsidRPr="00B74C6B">
      <w:rPr>
        <w:noProof/>
        <w:sz w:val="24"/>
        <w:szCs w:val="24"/>
      </w:rPr>
      <w:drawing>
        <wp:anchor distT="0" distB="0" distL="114300" distR="114300" simplePos="0" relativeHeight="251661312" behindDoc="0" locked="0" layoutInCell="1" allowOverlap="1">
          <wp:simplePos x="0" y="0"/>
          <wp:positionH relativeFrom="margin">
            <wp:align>right</wp:align>
          </wp:positionH>
          <wp:positionV relativeFrom="paragraph">
            <wp:posOffset>-64770</wp:posOffset>
          </wp:positionV>
          <wp:extent cx="1647825" cy="37147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7825" cy="371475"/>
                  </a:xfrm>
                  <a:prstGeom prst="rect">
                    <a:avLst/>
                  </a:prstGeom>
                </pic:spPr>
              </pic:pic>
            </a:graphicData>
          </a:graphic>
        </wp:anchor>
      </w:drawing>
    </w:r>
    <w:r w:rsidRPr="00B74C6B">
      <w:rPr>
        <w:sz w:val="24"/>
        <w:szCs w:val="24"/>
      </w:rPr>
      <w:t xml:space="preserve">SMTRACK BERHAD </w:t>
    </w:r>
    <w:r>
      <w:rPr>
        <w:sz w:val="16"/>
        <w:szCs w:val="16"/>
      </w:rPr>
      <w:t>(639421-X)</w:t>
    </w:r>
  </w:p>
  <w:p w:rsidR="009A6796" w:rsidRPr="00B20878" w:rsidRDefault="009A6796" w:rsidP="00563776">
    <w:pPr>
      <w:pStyle w:val="NoSpacing"/>
      <w:rPr>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D281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A269DD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A5E36B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20AE7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6A25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7A70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5A3A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2427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06D0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E04E62"/>
    <w:lvl w:ilvl="0">
      <w:start w:val="1"/>
      <w:numFmt w:val="bullet"/>
      <w:lvlText w:val=""/>
      <w:lvlJc w:val="left"/>
      <w:pPr>
        <w:tabs>
          <w:tab w:val="num" w:pos="360"/>
        </w:tabs>
        <w:ind w:left="360" w:hanging="360"/>
      </w:pPr>
      <w:rPr>
        <w:rFonts w:ascii="Symbol" w:hAnsi="Symbol" w:hint="default"/>
      </w:rPr>
    </w:lvl>
  </w:abstractNum>
  <w:abstractNum w:abstractNumId="10">
    <w:nsid w:val="096C3859"/>
    <w:multiLevelType w:val="hybridMultilevel"/>
    <w:tmpl w:val="51325B60"/>
    <w:lvl w:ilvl="0" w:tplc="5748C5C2">
      <w:start w:val="4"/>
      <w:numFmt w:val="bullet"/>
      <w:lvlText w:val="-"/>
      <w:lvlJc w:val="left"/>
      <w:pPr>
        <w:ind w:left="405" w:hanging="360"/>
      </w:pPr>
      <w:rPr>
        <w:rFonts w:ascii="Calibri" w:eastAsia="Times New Roman" w:hAnsi="Calibri" w:cs="Calibri" w:hint="default"/>
      </w:rPr>
    </w:lvl>
    <w:lvl w:ilvl="1" w:tplc="44090003" w:tentative="1">
      <w:start w:val="1"/>
      <w:numFmt w:val="bullet"/>
      <w:lvlText w:val="o"/>
      <w:lvlJc w:val="left"/>
      <w:pPr>
        <w:ind w:left="1125" w:hanging="360"/>
      </w:pPr>
      <w:rPr>
        <w:rFonts w:ascii="Courier New" w:hAnsi="Courier New" w:cs="Courier New" w:hint="default"/>
      </w:rPr>
    </w:lvl>
    <w:lvl w:ilvl="2" w:tplc="44090005" w:tentative="1">
      <w:start w:val="1"/>
      <w:numFmt w:val="bullet"/>
      <w:lvlText w:val=""/>
      <w:lvlJc w:val="left"/>
      <w:pPr>
        <w:ind w:left="1845" w:hanging="360"/>
      </w:pPr>
      <w:rPr>
        <w:rFonts w:ascii="Wingdings" w:hAnsi="Wingdings" w:hint="default"/>
      </w:rPr>
    </w:lvl>
    <w:lvl w:ilvl="3" w:tplc="44090001" w:tentative="1">
      <w:start w:val="1"/>
      <w:numFmt w:val="bullet"/>
      <w:lvlText w:val=""/>
      <w:lvlJc w:val="left"/>
      <w:pPr>
        <w:ind w:left="2565" w:hanging="360"/>
      </w:pPr>
      <w:rPr>
        <w:rFonts w:ascii="Symbol" w:hAnsi="Symbol" w:hint="default"/>
      </w:rPr>
    </w:lvl>
    <w:lvl w:ilvl="4" w:tplc="44090003" w:tentative="1">
      <w:start w:val="1"/>
      <w:numFmt w:val="bullet"/>
      <w:lvlText w:val="o"/>
      <w:lvlJc w:val="left"/>
      <w:pPr>
        <w:ind w:left="3285" w:hanging="360"/>
      </w:pPr>
      <w:rPr>
        <w:rFonts w:ascii="Courier New" w:hAnsi="Courier New" w:cs="Courier New" w:hint="default"/>
      </w:rPr>
    </w:lvl>
    <w:lvl w:ilvl="5" w:tplc="44090005" w:tentative="1">
      <w:start w:val="1"/>
      <w:numFmt w:val="bullet"/>
      <w:lvlText w:val=""/>
      <w:lvlJc w:val="left"/>
      <w:pPr>
        <w:ind w:left="4005" w:hanging="360"/>
      </w:pPr>
      <w:rPr>
        <w:rFonts w:ascii="Wingdings" w:hAnsi="Wingdings" w:hint="default"/>
      </w:rPr>
    </w:lvl>
    <w:lvl w:ilvl="6" w:tplc="44090001" w:tentative="1">
      <w:start w:val="1"/>
      <w:numFmt w:val="bullet"/>
      <w:lvlText w:val=""/>
      <w:lvlJc w:val="left"/>
      <w:pPr>
        <w:ind w:left="4725" w:hanging="360"/>
      </w:pPr>
      <w:rPr>
        <w:rFonts w:ascii="Symbol" w:hAnsi="Symbol" w:hint="default"/>
      </w:rPr>
    </w:lvl>
    <w:lvl w:ilvl="7" w:tplc="44090003" w:tentative="1">
      <w:start w:val="1"/>
      <w:numFmt w:val="bullet"/>
      <w:lvlText w:val="o"/>
      <w:lvlJc w:val="left"/>
      <w:pPr>
        <w:ind w:left="5445" w:hanging="360"/>
      </w:pPr>
      <w:rPr>
        <w:rFonts w:ascii="Courier New" w:hAnsi="Courier New" w:cs="Courier New" w:hint="default"/>
      </w:rPr>
    </w:lvl>
    <w:lvl w:ilvl="8" w:tplc="44090005" w:tentative="1">
      <w:start w:val="1"/>
      <w:numFmt w:val="bullet"/>
      <w:lvlText w:val=""/>
      <w:lvlJc w:val="left"/>
      <w:pPr>
        <w:ind w:left="6165" w:hanging="360"/>
      </w:pPr>
      <w:rPr>
        <w:rFonts w:ascii="Wingdings" w:hAnsi="Wingdings" w:hint="default"/>
      </w:rPr>
    </w:lvl>
  </w:abstractNum>
  <w:abstractNum w:abstractNumId="11">
    <w:nsid w:val="09BF26DB"/>
    <w:multiLevelType w:val="hybridMultilevel"/>
    <w:tmpl w:val="6C22B564"/>
    <w:lvl w:ilvl="0" w:tplc="192AC5D0">
      <w:start w:val="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BD51F63"/>
    <w:multiLevelType w:val="hybridMultilevel"/>
    <w:tmpl w:val="B84236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95277C5"/>
    <w:multiLevelType w:val="hybridMultilevel"/>
    <w:tmpl w:val="36966928"/>
    <w:lvl w:ilvl="0" w:tplc="4964FA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6520C"/>
    <w:multiLevelType w:val="hybridMultilevel"/>
    <w:tmpl w:val="BB704B6E"/>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317217A6"/>
    <w:multiLevelType w:val="hybridMultilevel"/>
    <w:tmpl w:val="8CE23884"/>
    <w:lvl w:ilvl="0" w:tplc="3C48F174">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163FAA"/>
    <w:multiLevelType w:val="hybridMultilevel"/>
    <w:tmpl w:val="F66ACE06"/>
    <w:lvl w:ilvl="0" w:tplc="739EFE78">
      <w:start w:val="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52D4C"/>
    <w:multiLevelType w:val="hybridMultilevel"/>
    <w:tmpl w:val="BC2A260E"/>
    <w:lvl w:ilvl="0" w:tplc="76AE6E1C">
      <w:start w:val="4"/>
      <w:numFmt w:val="bullet"/>
      <w:lvlText w:val="-"/>
      <w:lvlJc w:val="left"/>
      <w:pPr>
        <w:ind w:left="405" w:hanging="360"/>
      </w:pPr>
      <w:rPr>
        <w:rFonts w:ascii="Calibri" w:eastAsia="Times New Roman" w:hAnsi="Calibri" w:cs="Calibri" w:hint="default"/>
      </w:rPr>
    </w:lvl>
    <w:lvl w:ilvl="1" w:tplc="44090003" w:tentative="1">
      <w:start w:val="1"/>
      <w:numFmt w:val="bullet"/>
      <w:lvlText w:val="o"/>
      <w:lvlJc w:val="left"/>
      <w:pPr>
        <w:ind w:left="1125" w:hanging="360"/>
      </w:pPr>
      <w:rPr>
        <w:rFonts w:ascii="Courier New" w:hAnsi="Courier New" w:cs="Courier New" w:hint="default"/>
      </w:rPr>
    </w:lvl>
    <w:lvl w:ilvl="2" w:tplc="44090005" w:tentative="1">
      <w:start w:val="1"/>
      <w:numFmt w:val="bullet"/>
      <w:lvlText w:val=""/>
      <w:lvlJc w:val="left"/>
      <w:pPr>
        <w:ind w:left="1845" w:hanging="360"/>
      </w:pPr>
      <w:rPr>
        <w:rFonts w:ascii="Wingdings" w:hAnsi="Wingdings" w:hint="default"/>
      </w:rPr>
    </w:lvl>
    <w:lvl w:ilvl="3" w:tplc="44090001" w:tentative="1">
      <w:start w:val="1"/>
      <w:numFmt w:val="bullet"/>
      <w:lvlText w:val=""/>
      <w:lvlJc w:val="left"/>
      <w:pPr>
        <w:ind w:left="2565" w:hanging="360"/>
      </w:pPr>
      <w:rPr>
        <w:rFonts w:ascii="Symbol" w:hAnsi="Symbol" w:hint="default"/>
      </w:rPr>
    </w:lvl>
    <w:lvl w:ilvl="4" w:tplc="44090003" w:tentative="1">
      <w:start w:val="1"/>
      <w:numFmt w:val="bullet"/>
      <w:lvlText w:val="o"/>
      <w:lvlJc w:val="left"/>
      <w:pPr>
        <w:ind w:left="3285" w:hanging="360"/>
      </w:pPr>
      <w:rPr>
        <w:rFonts w:ascii="Courier New" w:hAnsi="Courier New" w:cs="Courier New" w:hint="default"/>
      </w:rPr>
    </w:lvl>
    <w:lvl w:ilvl="5" w:tplc="44090005" w:tentative="1">
      <w:start w:val="1"/>
      <w:numFmt w:val="bullet"/>
      <w:lvlText w:val=""/>
      <w:lvlJc w:val="left"/>
      <w:pPr>
        <w:ind w:left="4005" w:hanging="360"/>
      </w:pPr>
      <w:rPr>
        <w:rFonts w:ascii="Wingdings" w:hAnsi="Wingdings" w:hint="default"/>
      </w:rPr>
    </w:lvl>
    <w:lvl w:ilvl="6" w:tplc="44090001" w:tentative="1">
      <w:start w:val="1"/>
      <w:numFmt w:val="bullet"/>
      <w:lvlText w:val=""/>
      <w:lvlJc w:val="left"/>
      <w:pPr>
        <w:ind w:left="4725" w:hanging="360"/>
      </w:pPr>
      <w:rPr>
        <w:rFonts w:ascii="Symbol" w:hAnsi="Symbol" w:hint="default"/>
      </w:rPr>
    </w:lvl>
    <w:lvl w:ilvl="7" w:tplc="44090003" w:tentative="1">
      <w:start w:val="1"/>
      <w:numFmt w:val="bullet"/>
      <w:lvlText w:val="o"/>
      <w:lvlJc w:val="left"/>
      <w:pPr>
        <w:ind w:left="5445" w:hanging="360"/>
      </w:pPr>
      <w:rPr>
        <w:rFonts w:ascii="Courier New" w:hAnsi="Courier New" w:cs="Courier New" w:hint="default"/>
      </w:rPr>
    </w:lvl>
    <w:lvl w:ilvl="8" w:tplc="44090005" w:tentative="1">
      <w:start w:val="1"/>
      <w:numFmt w:val="bullet"/>
      <w:lvlText w:val=""/>
      <w:lvlJc w:val="left"/>
      <w:pPr>
        <w:ind w:left="6165" w:hanging="360"/>
      </w:pPr>
      <w:rPr>
        <w:rFonts w:ascii="Wingdings" w:hAnsi="Wingdings" w:hint="default"/>
      </w:rPr>
    </w:lvl>
  </w:abstractNum>
  <w:abstractNum w:abstractNumId="18">
    <w:nsid w:val="39BD460A"/>
    <w:multiLevelType w:val="hybridMultilevel"/>
    <w:tmpl w:val="CB74AC60"/>
    <w:lvl w:ilvl="0" w:tplc="5038E8A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3AE4775B"/>
    <w:multiLevelType w:val="hybridMultilevel"/>
    <w:tmpl w:val="74FEAE74"/>
    <w:lvl w:ilvl="0" w:tplc="EBEAFDCE">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0">
    <w:nsid w:val="3D220950"/>
    <w:multiLevelType w:val="hybridMultilevel"/>
    <w:tmpl w:val="59F697A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27D03A2"/>
    <w:multiLevelType w:val="hybridMultilevel"/>
    <w:tmpl w:val="E59C122E"/>
    <w:lvl w:ilvl="0" w:tplc="25D0FD0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42864C7"/>
    <w:multiLevelType w:val="hybridMultilevel"/>
    <w:tmpl w:val="94FAD244"/>
    <w:lvl w:ilvl="0" w:tplc="314A4684">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45150602"/>
    <w:multiLevelType w:val="hybridMultilevel"/>
    <w:tmpl w:val="4F16657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hint="default"/>
      </w:rPr>
    </w:lvl>
    <w:lvl w:ilvl="8" w:tplc="44090005">
      <w:start w:val="1"/>
      <w:numFmt w:val="bullet"/>
      <w:lvlText w:val=""/>
      <w:lvlJc w:val="left"/>
      <w:pPr>
        <w:ind w:left="7200" w:hanging="360"/>
      </w:pPr>
      <w:rPr>
        <w:rFonts w:ascii="Wingdings" w:hAnsi="Wingdings" w:hint="default"/>
      </w:rPr>
    </w:lvl>
  </w:abstractNum>
  <w:abstractNum w:abstractNumId="24">
    <w:nsid w:val="489B3594"/>
    <w:multiLevelType w:val="hybridMultilevel"/>
    <w:tmpl w:val="062AEC4E"/>
    <w:lvl w:ilvl="0" w:tplc="2EA4A3B0">
      <w:start w:val="1"/>
      <w:numFmt w:val="lowerRoman"/>
      <w:lvlText w:val="(%1)"/>
      <w:lvlJc w:val="right"/>
      <w:pPr>
        <w:ind w:left="1080" w:hanging="360"/>
      </w:pPr>
      <w:rPr>
        <w:rFonts w:asciiTheme="minorHAnsi" w:eastAsia="SimSun" w:hAnsiTheme="minorHAnsi" w:cs="Times New Roman"/>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5">
    <w:nsid w:val="4FBA5784"/>
    <w:multiLevelType w:val="hybridMultilevel"/>
    <w:tmpl w:val="6102F960"/>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55F140A8"/>
    <w:multiLevelType w:val="hybridMultilevel"/>
    <w:tmpl w:val="6F267C3C"/>
    <w:lvl w:ilvl="0" w:tplc="13F4CA60">
      <w:start w:val="53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4092C"/>
    <w:multiLevelType w:val="hybridMultilevel"/>
    <w:tmpl w:val="B6D0FDB4"/>
    <w:lvl w:ilvl="0" w:tplc="6520DD4E">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D115E0"/>
    <w:multiLevelType w:val="hybridMultilevel"/>
    <w:tmpl w:val="84D45D38"/>
    <w:lvl w:ilvl="0" w:tplc="80001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5DA37F95"/>
    <w:multiLevelType w:val="hybridMultilevel"/>
    <w:tmpl w:val="20B65EB2"/>
    <w:lvl w:ilvl="0" w:tplc="FF146820">
      <w:numFmt w:val="bullet"/>
      <w:lvlText w:val="-"/>
      <w:lvlJc w:val="left"/>
      <w:pPr>
        <w:ind w:left="405" w:hanging="360"/>
      </w:pPr>
      <w:rPr>
        <w:rFonts w:ascii="Century" w:eastAsia="SimSun" w:hAnsi="Century"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5F0B659F"/>
    <w:multiLevelType w:val="hybridMultilevel"/>
    <w:tmpl w:val="9EFA55B6"/>
    <w:lvl w:ilvl="0" w:tplc="D8EA2A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50403"/>
    <w:multiLevelType w:val="hybridMultilevel"/>
    <w:tmpl w:val="3D2E96D6"/>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hint="default"/>
      </w:rPr>
    </w:lvl>
    <w:lvl w:ilvl="8" w:tplc="44090005">
      <w:start w:val="1"/>
      <w:numFmt w:val="bullet"/>
      <w:lvlText w:val=""/>
      <w:lvlJc w:val="left"/>
      <w:pPr>
        <w:ind w:left="7200" w:hanging="360"/>
      </w:pPr>
      <w:rPr>
        <w:rFonts w:ascii="Wingdings" w:hAnsi="Wingdings" w:hint="default"/>
      </w:rPr>
    </w:lvl>
  </w:abstractNum>
  <w:abstractNum w:abstractNumId="32">
    <w:nsid w:val="6CEC5AF1"/>
    <w:multiLevelType w:val="hybridMultilevel"/>
    <w:tmpl w:val="31B08A30"/>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718F4EAB"/>
    <w:multiLevelType w:val="hybridMultilevel"/>
    <w:tmpl w:val="3606EC3C"/>
    <w:lvl w:ilvl="0" w:tplc="C648582E">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4">
    <w:nsid w:val="766C68C0"/>
    <w:multiLevelType w:val="hybridMultilevel"/>
    <w:tmpl w:val="93EEAD32"/>
    <w:lvl w:ilvl="0" w:tplc="C24C59A6">
      <w:start w:val="1"/>
      <w:numFmt w:val="lowerRoman"/>
      <w:lvlText w:val="%1)"/>
      <w:lvlJc w:val="left"/>
      <w:pPr>
        <w:ind w:left="72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76DB7F72"/>
    <w:multiLevelType w:val="hybridMultilevel"/>
    <w:tmpl w:val="B0BA6CC4"/>
    <w:lvl w:ilvl="0" w:tplc="C276C15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A73702D"/>
    <w:multiLevelType w:val="hybridMultilevel"/>
    <w:tmpl w:val="92C287C6"/>
    <w:lvl w:ilvl="0" w:tplc="6E925F2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1"/>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5"/>
  </w:num>
  <w:num w:numId="15">
    <w:abstractNumId w:val="12"/>
  </w:num>
  <w:num w:numId="16">
    <w:abstractNumId w:val="25"/>
  </w:num>
  <w:num w:numId="17">
    <w:abstractNumId w:val="15"/>
  </w:num>
  <w:num w:numId="18">
    <w:abstractNumId w:val="16"/>
  </w:num>
  <w:num w:numId="19">
    <w:abstractNumId w:val="24"/>
  </w:num>
  <w:num w:numId="20">
    <w:abstractNumId w:val="14"/>
  </w:num>
  <w:num w:numId="21">
    <w:abstractNumId w:val="32"/>
  </w:num>
  <w:num w:numId="22">
    <w:abstractNumId w:val="36"/>
  </w:num>
  <w:num w:numId="23">
    <w:abstractNumId w:val="28"/>
  </w:num>
  <w:num w:numId="24">
    <w:abstractNumId w:val="29"/>
  </w:num>
  <w:num w:numId="25">
    <w:abstractNumId w:val="11"/>
  </w:num>
  <w:num w:numId="26">
    <w:abstractNumId w:val="19"/>
  </w:num>
  <w:num w:numId="27">
    <w:abstractNumId w:val="17"/>
  </w:num>
  <w:num w:numId="28">
    <w:abstractNumId w:val="10"/>
  </w:num>
  <w:num w:numId="29">
    <w:abstractNumId w:val="22"/>
  </w:num>
  <w:num w:numId="30">
    <w:abstractNumId w:val="20"/>
  </w:num>
  <w:num w:numId="31">
    <w:abstractNumId w:val="34"/>
  </w:num>
  <w:num w:numId="32">
    <w:abstractNumId w:val="33"/>
  </w:num>
  <w:num w:numId="33">
    <w:abstractNumId w:val="18"/>
  </w:num>
  <w:num w:numId="34">
    <w:abstractNumId w:val="13"/>
  </w:num>
  <w:num w:numId="35">
    <w:abstractNumId w:val="30"/>
  </w:num>
  <w:num w:numId="36">
    <w:abstractNumId w:val="2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A8"/>
    <w:rsid w:val="0000000D"/>
    <w:rsid w:val="0000026E"/>
    <w:rsid w:val="00000860"/>
    <w:rsid w:val="00000B94"/>
    <w:rsid w:val="00000D0B"/>
    <w:rsid w:val="00003388"/>
    <w:rsid w:val="00003B20"/>
    <w:rsid w:val="00004025"/>
    <w:rsid w:val="000046E7"/>
    <w:rsid w:val="00004DDC"/>
    <w:rsid w:val="0000589F"/>
    <w:rsid w:val="00006C16"/>
    <w:rsid w:val="00007C54"/>
    <w:rsid w:val="0001176B"/>
    <w:rsid w:val="00011FFE"/>
    <w:rsid w:val="00014208"/>
    <w:rsid w:val="000156BF"/>
    <w:rsid w:val="00015B69"/>
    <w:rsid w:val="0001668A"/>
    <w:rsid w:val="000206F9"/>
    <w:rsid w:val="0002190C"/>
    <w:rsid w:val="00021BB0"/>
    <w:rsid w:val="00021C39"/>
    <w:rsid w:val="00022048"/>
    <w:rsid w:val="00022639"/>
    <w:rsid w:val="00023CB8"/>
    <w:rsid w:val="0002430C"/>
    <w:rsid w:val="000244F8"/>
    <w:rsid w:val="00024B5D"/>
    <w:rsid w:val="00025878"/>
    <w:rsid w:val="0002667D"/>
    <w:rsid w:val="00027334"/>
    <w:rsid w:val="00027599"/>
    <w:rsid w:val="000307AB"/>
    <w:rsid w:val="000309FF"/>
    <w:rsid w:val="00031B39"/>
    <w:rsid w:val="0003214D"/>
    <w:rsid w:val="00032E97"/>
    <w:rsid w:val="00033B14"/>
    <w:rsid w:val="000341A2"/>
    <w:rsid w:val="000343ED"/>
    <w:rsid w:val="00034DC5"/>
    <w:rsid w:val="000365A8"/>
    <w:rsid w:val="00036BF2"/>
    <w:rsid w:val="0003708B"/>
    <w:rsid w:val="00041257"/>
    <w:rsid w:val="00041893"/>
    <w:rsid w:val="00042AF2"/>
    <w:rsid w:val="00044AA8"/>
    <w:rsid w:val="00045324"/>
    <w:rsid w:val="00045436"/>
    <w:rsid w:val="000468DF"/>
    <w:rsid w:val="00047510"/>
    <w:rsid w:val="000475CA"/>
    <w:rsid w:val="0004793F"/>
    <w:rsid w:val="000504C9"/>
    <w:rsid w:val="000506B4"/>
    <w:rsid w:val="00050799"/>
    <w:rsid w:val="00050BEE"/>
    <w:rsid w:val="00052203"/>
    <w:rsid w:val="0005222A"/>
    <w:rsid w:val="00052521"/>
    <w:rsid w:val="0005277F"/>
    <w:rsid w:val="00052D96"/>
    <w:rsid w:val="000530B1"/>
    <w:rsid w:val="000543A6"/>
    <w:rsid w:val="000548F7"/>
    <w:rsid w:val="00054926"/>
    <w:rsid w:val="000559AE"/>
    <w:rsid w:val="00056086"/>
    <w:rsid w:val="00056244"/>
    <w:rsid w:val="00057880"/>
    <w:rsid w:val="0006083A"/>
    <w:rsid w:val="00060FE8"/>
    <w:rsid w:val="00062710"/>
    <w:rsid w:val="00062A61"/>
    <w:rsid w:val="00062EFF"/>
    <w:rsid w:val="00064E32"/>
    <w:rsid w:val="00065667"/>
    <w:rsid w:val="000658B8"/>
    <w:rsid w:val="00065E78"/>
    <w:rsid w:val="000662DA"/>
    <w:rsid w:val="0006672E"/>
    <w:rsid w:val="000712C6"/>
    <w:rsid w:val="0007224D"/>
    <w:rsid w:val="000759C1"/>
    <w:rsid w:val="000761CA"/>
    <w:rsid w:val="00076343"/>
    <w:rsid w:val="00080884"/>
    <w:rsid w:val="00080F48"/>
    <w:rsid w:val="0008136A"/>
    <w:rsid w:val="00082C97"/>
    <w:rsid w:val="000833A8"/>
    <w:rsid w:val="00085ABD"/>
    <w:rsid w:val="00085D91"/>
    <w:rsid w:val="0008726B"/>
    <w:rsid w:val="00090450"/>
    <w:rsid w:val="00090813"/>
    <w:rsid w:val="00091AA4"/>
    <w:rsid w:val="00092684"/>
    <w:rsid w:val="000933DA"/>
    <w:rsid w:val="00093A74"/>
    <w:rsid w:val="00095DFB"/>
    <w:rsid w:val="000965B3"/>
    <w:rsid w:val="00097889"/>
    <w:rsid w:val="00097A54"/>
    <w:rsid w:val="00097C9E"/>
    <w:rsid w:val="00097F7B"/>
    <w:rsid w:val="000A0503"/>
    <w:rsid w:val="000A0527"/>
    <w:rsid w:val="000A1BC6"/>
    <w:rsid w:val="000A1F13"/>
    <w:rsid w:val="000A227C"/>
    <w:rsid w:val="000A22C9"/>
    <w:rsid w:val="000A5D96"/>
    <w:rsid w:val="000A6665"/>
    <w:rsid w:val="000A673A"/>
    <w:rsid w:val="000A76A9"/>
    <w:rsid w:val="000A78EF"/>
    <w:rsid w:val="000B0716"/>
    <w:rsid w:val="000B12A0"/>
    <w:rsid w:val="000B1548"/>
    <w:rsid w:val="000B1828"/>
    <w:rsid w:val="000B2CD8"/>
    <w:rsid w:val="000B349D"/>
    <w:rsid w:val="000B441E"/>
    <w:rsid w:val="000B44E0"/>
    <w:rsid w:val="000B46EF"/>
    <w:rsid w:val="000B4B6F"/>
    <w:rsid w:val="000B6A74"/>
    <w:rsid w:val="000B6C97"/>
    <w:rsid w:val="000B7302"/>
    <w:rsid w:val="000C2122"/>
    <w:rsid w:val="000C383A"/>
    <w:rsid w:val="000C541D"/>
    <w:rsid w:val="000C5FC6"/>
    <w:rsid w:val="000C6F02"/>
    <w:rsid w:val="000C6F85"/>
    <w:rsid w:val="000D1210"/>
    <w:rsid w:val="000D1978"/>
    <w:rsid w:val="000D2825"/>
    <w:rsid w:val="000D2D1D"/>
    <w:rsid w:val="000D34B3"/>
    <w:rsid w:val="000D5214"/>
    <w:rsid w:val="000D524D"/>
    <w:rsid w:val="000D59A7"/>
    <w:rsid w:val="000D5AE3"/>
    <w:rsid w:val="000D5D59"/>
    <w:rsid w:val="000D63DD"/>
    <w:rsid w:val="000D6D97"/>
    <w:rsid w:val="000D7170"/>
    <w:rsid w:val="000D75C4"/>
    <w:rsid w:val="000D76C1"/>
    <w:rsid w:val="000E034C"/>
    <w:rsid w:val="000E0DF1"/>
    <w:rsid w:val="000E0FAA"/>
    <w:rsid w:val="000E1A50"/>
    <w:rsid w:val="000E78EA"/>
    <w:rsid w:val="000F04AE"/>
    <w:rsid w:val="000F0964"/>
    <w:rsid w:val="000F1335"/>
    <w:rsid w:val="000F17B6"/>
    <w:rsid w:val="000F1C98"/>
    <w:rsid w:val="000F2033"/>
    <w:rsid w:val="000F22F1"/>
    <w:rsid w:val="000F2C4E"/>
    <w:rsid w:val="000F2C77"/>
    <w:rsid w:val="000F3806"/>
    <w:rsid w:val="000F3C24"/>
    <w:rsid w:val="000F3C4E"/>
    <w:rsid w:val="000F3C50"/>
    <w:rsid w:val="000F4992"/>
    <w:rsid w:val="000F62C8"/>
    <w:rsid w:val="000F7110"/>
    <w:rsid w:val="000F7B02"/>
    <w:rsid w:val="00100FEC"/>
    <w:rsid w:val="001026C4"/>
    <w:rsid w:val="001032C7"/>
    <w:rsid w:val="0010547F"/>
    <w:rsid w:val="001059F2"/>
    <w:rsid w:val="00105FD0"/>
    <w:rsid w:val="001064F5"/>
    <w:rsid w:val="0011035E"/>
    <w:rsid w:val="0011062F"/>
    <w:rsid w:val="00110635"/>
    <w:rsid w:val="00111065"/>
    <w:rsid w:val="0011199C"/>
    <w:rsid w:val="00112A3A"/>
    <w:rsid w:val="00113657"/>
    <w:rsid w:val="00114158"/>
    <w:rsid w:val="001141AA"/>
    <w:rsid w:val="0011437D"/>
    <w:rsid w:val="00114524"/>
    <w:rsid w:val="00114C6A"/>
    <w:rsid w:val="001159EA"/>
    <w:rsid w:val="00115B85"/>
    <w:rsid w:val="001163A3"/>
    <w:rsid w:val="00116961"/>
    <w:rsid w:val="001169AB"/>
    <w:rsid w:val="00116E0C"/>
    <w:rsid w:val="00117300"/>
    <w:rsid w:val="001175C3"/>
    <w:rsid w:val="001204D8"/>
    <w:rsid w:val="00122EC5"/>
    <w:rsid w:val="001252F9"/>
    <w:rsid w:val="00126136"/>
    <w:rsid w:val="001271F2"/>
    <w:rsid w:val="001276ED"/>
    <w:rsid w:val="00127906"/>
    <w:rsid w:val="00130398"/>
    <w:rsid w:val="00130C1B"/>
    <w:rsid w:val="00132D5F"/>
    <w:rsid w:val="00132D7C"/>
    <w:rsid w:val="00133648"/>
    <w:rsid w:val="00134A91"/>
    <w:rsid w:val="00135144"/>
    <w:rsid w:val="001351AE"/>
    <w:rsid w:val="001356E2"/>
    <w:rsid w:val="0013664C"/>
    <w:rsid w:val="00136833"/>
    <w:rsid w:val="0013794A"/>
    <w:rsid w:val="00137A60"/>
    <w:rsid w:val="0014028E"/>
    <w:rsid w:val="001416AE"/>
    <w:rsid w:val="00141C50"/>
    <w:rsid w:val="00141E4E"/>
    <w:rsid w:val="00144257"/>
    <w:rsid w:val="00144D44"/>
    <w:rsid w:val="00144EAC"/>
    <w:rsid w:val="001451F3"/>
    <w:rsid w:val="00145C3E"/>
    <w:rsid w:val="0014675B"/>
    <w:rsid w:val="00146B97"/>
    <w:rsid w:val="00146DB7"/>
    <w:rsid w:val="00147A44"/>
    <w:rsid w:val="00147E7D"/>
    <w:rsid w:val="001508F0"/>
    <w:rsid w:val="001512AF"/>
    <w:rsid w:val="001525F7"/>
    <w:rsid w:val="00153143"/>
    <w:rsid w:val="00153722"/>
    <w:rsid w:val="00153761"/>
    <w:rsid w:val="00153D42"/>
    <w:rsid w:val="00155110"/>
    <w:rsid w:val="001556F8"/>
    <w:rsid w:val="00156592"/>
    <w:rsid w:val="00156BEF"/>
    <w:rsid w:val="00156F9D"/>
    <w:rsid w:val="00160231"/>
    <w:rsid w:val="00160D71"/>
    <w:rsid w:val="001619A7"/>
    <w:rsid w:val="00161A34"/>
    <w:rsid w:val="00161B5A"/>
    <w:rsid w:val="001644E4"/>
    <w:rsid w:val="00164F99"/>
    <w:rsid w:val="00165246"/>
    <w:rsid w:val="0016557A"/>
    <w:rsid w:val="00165979"/>
    <w:rsid w:val="00166EFA"/>
    <w:rsid w:val="0016773D"/>
    <w:rsid w:val="00170A7B"/>
    <w:rsid w:val="0017137A"/>
    <w:rsid w:val="001718D0"/>
    <w:rsid w:val="001739FF"/>
    <w:rsid w:val="00175768"/>
    <w:rsid w:val="00175EF8"/>
    <w:rsid w:val="0017665B"/>
    <w:rsid w:val="00176DE0"/>
    <w:rsid w:val="001773C6"/>
    <w:rsid w:val="00177BA1"/>
    <w:rsid w:val="00180CA9"/>
    <w:rsid w:val="00181100"/>
    <w:rsid w:val="0018196F"/>
    <w:rsid w:val="001819CE"/>
    <w:rsid w:val="0018397C"/>
    <w:rsid w:val="00184CDE"/>
    <w:rsid w:val="00184D34"/>
    <w:rsid w:val="00184FD5"/>
    <w:rsid w:val="00186335"/>
    <w:rsid w:val="001871EC"/>
    <w:rsid w:val="001877B3"/>
    <w:rsid w:val="00187BBC"/>
    <w:rsid w:val="0019091B"/>
    <w:rsid w:val="0019304B"/>
    <w:rsid w:val="00193B54"/>
    <w:rsid w:val="00193CC8"/>
    <w:rsid w:val="00193E8D"/>
    <w:rsid w:val="00195055"/>
    <w:rsid w:val="00195C28"/>
    <w:rsid w:val="001965CB"/>
    <w:rsid w:val="00196CFF"/>
    <w:rsid w:val="001970B2"/>
    <w:rsid w:val="00197393"/>
    <w:rsid w:val="00197B58"/>
    <w:rsid w:val="001A0C7F"/>
    <w:rsid w:val="001A1102"/>
    <w:rsid w:val="001A1C0C"/>
    <w:rsid w:val="001A29B6"/>
    <w:rsid w:val="001A2E72"/>
    <w:rsid w:val="001A33A2"/>
    <w:rsid w:val="001A3A0C"/>
    <w:rsid w:val="001A3C8C"/>
    <w:rsid w:val="001A476F"/>
    <w:rsid w:val="001A489A"/>
    <w:rsid w:val="001A5F18"/>
    <w:rsid w:val="001A72F5"/>
    <w:rsid w:val="001A79C4"/>
    <w:rsid w:val="001A7A59"/>
    <w:rsid w:val="001A7F43"/>
    <w:rsid w:val="001B0160"/>
    <w:rsid w:val="001B164F"/>
    <w:rsid w:val="001B19A5"/>
    <w:rsid w:val="001B2F63"/>
    <w:rsid w:val="001B3690"/>
    <w:rsid w:val="001B37EC"/>
    <w:rsid w:val="001B3BCE"/>
    <w:rsid w:val="001B4B41"/>
    <w:rsid w:val="001B593F"/>
    <w:rsid w:val="001B6288"/>
    <w:rsid w:val="001B7077"/>
    <w:rsid w:val="001B7FDF"/>
    <w:rsid w:val="001C1BF6"/>
    <w:rsid w:val="001C1CB6"/>
    <w:rsid w:val="001C223C"/>
    <w:rsid w:val="001C2A6D"/>
    <w:rsid w:val="001C3743"/>
    <w:rsid w:val="001C713B"/>
    <w:rsid w:val="001C7A78"/>
    <w:rsid w:val="001C7F15"/>
    <w:rsid w:val="001D0D98"/>
    <w:rsid w:val="001D2111"/>
    <w:rsid w:val="001D262F"/>
    <w:rsid w:val="001D31F2"/>
    <w:rsid w:val="001D3780"/>
    <w:rsid w:val="001D4B8C"/>
    <w:rsid w:val="001D4BCA"/>
    <w:rsid w:val="001D4C26"/>
    <w:rsid w:val="001D5061"/>
    <w:rsid w:val="001D7C5D"/>
    <w:rsid w:val="001E0286"/>
    <w:rsid w:val="001E06BF"/>
    <w:rsid w:val="001E189A"/>
    <w:rsid w:val="001E1A3C"/>
    <w:rsid w:val="001E3D46"/>
    <w:rsid w:val="001E4ED3"/>
    <w:rsid w:val="001E4F06"/>
    <w:rsid w:val="001E52E0"/>
    <w:rsid w:val="001E57EC"/>
    <w:rsid w:val="001E5C70"/>
    <w:rsid w:val="001E6FD5"/>
    <w:rsid w:val="001F062D"/>
    <w:rsid w:val="001F06C0"/>
    <w:rsid w:val="001F1966"/>
    <w:rsid w:val="001F201B"/>
    <w:rsid w:val="001F36DB"/>
    <w:rsid w:val="001F3E78"/>
    <w:rsid w:val="001F4F53"/>
    <w:rsid w:val="001F6680"/>
    <w:rsid w:val="001F769B"/>
    <w:rsid w:val="00200754"/>
    <w:rsid w:val="00200888"/>
    <w:rsid w:val="0020143D"/>
    <w:rsid w:val="00201473"/>
    <w:rsid w:val="0020173F"/>
    <w:rsid w:val="00202D05"/>
    <w:rsid w:val="0020498C"/>
    <w:rsid w:val="00204ACF"/>
    <w:rsid w:val="00205E7C"/>
    <w:rsid w:val="00206568"/>
    <w:rsid w:val="00207428"/>
    <w:rsid w:val="00207947"/>
    <w:rsid w:val="00207CAA"/>
    <w:rsid w:val="002101F8"/>
    <w:rsid w:val="0021102D"/>
    <w:rsid w:val="002112E5"/>
    <w:rsid w:val="00211B1D"/>
    <w:rsid w:val="002123B2"/>
    <w:rsid w:val="0021258E"/>
    <w:rsid w:val="00212758"/>
    <w:rsid w:val="002134B7"/>
    <w:rsid w:val="00213564"/>
    <w:rsid w:val="00213933"/>
    <w:rsid w:val="00214A74"/>
    <w:rsid w:val="00215322"/>
    <w:rsid w:val="00215624"/>
    <w:rsid w:val="00217922"/>
    <w:rsid w:val="00222C39"/>
    <w:rsid w:val="002237A2"/>
    <w:rsid w:val="00223B18"/>
    <w:rsid w:val="00223E79"/>
    <w:rsid w:val="00224BDC"/>
    <w:rsid w:val="002255C9"/>
    <w:rsid w:val="002260C6"/>
    <w:rsid w:val="0022636E"/>
    <w:rsid w:val="00226E7F"/>
    <w:rsid w:val="002279C3"/>
    <w:rsid w:val="00230945"/>
    <w:rsid w:val="0023139C"/>
    <w:rsid w:val="002316C7"/>
    <w:rsid w:val="00231966"/>
    <w:rsid w:val="00234544"/>
    <w:rsid w:val="00234DF3"/>
    <w:rsid w:val="0023545D"/>
    <w:rsid w:val="00235D76"/>
    <w:rsid w:val="002363B5"/>
    <w:rsid w:val="00236DA9"/>
    <w:rsid w:val="0023780C"/>
    <w:rsid w:val="00240B24"/>
    <w:rsid w:val="00241192"/>
    <w:rsid w:val="002416BB"/>
    <w:rsid w:val="002437F5"/>
    <w:rsid w:val="00244875"/>
    <w:rsid w:val="00245659"/>
    <w:rsid w:val="002456D6"/>
    <w:rsid w:val="00245920"/>
    <w:rsid w:val="0024600C"/>
    <w:rsid w:val="002465C2"/>
    <w:rsid w:val="00246BF0"/>
    <w:rsid w:val="00246C31"/>
    <w:rsid w:val="002474C3"/>
    <w:rsid w:val="0024786A"/>
    <w:rsid w:val="002503CC"/>
    <w:rsid w:val="002505E4"/>
    <w:rsid w:val="00250AAA"/>
    <w:rsid w:val="0025131F"/>
    <w:rsid w:val="00251682"/>
    <w:rsid w:val="002527E4"/>
    <w:rsid w:val="002541DA"/>
    <w:rsid w:val="00254E01"/>
    <w:rsid w:val="00254F8F"/>
    <w:rsid w:val="00255203"/>
    <w:rsid w:val="00255AFD"/>
    <w:rsid w:val="00257CDF"/>
    <w:rsid w:val="00257E48"/>
    <w:rsid w:val="00260C15"/>
    <w:rsid w:val="00261A4B"/>
    <w:rsid w:val="002622FB"/>
    <w:rsid w:val="0026243B"/>
    <w:rsid w:val="002633AD"/>
    <w:rsid w:val="002633BD"/>
    <w:rsid w:val="00264312"/>
    <w:rsid w:val="0026500E"/>
    <w:rsid w:val="00265664"/>
    <w:rsid w:val="0026675C"/>
    <w:rsid w:val="00266915"/>
    <w:rsid w:val="00273283"/>
    <w:rsid w:val="0027390D"/>
    <w:rsid w:val="00273CD5"/>
    <w:rsid w:val="0027427F"/>
    <w:rsid w:val="0027452A"/>
    <w:rsid w:val="00277004"/>
    <w:rsid w:val="00277170"/>
    <w:rsid w:val="0027773D"/>
    <w:rsid w:val="002800A4"/>
    <w:rsid w:val="002822EE"/>
    <w:rsid w:val="00282741"/>
    <w:rsid w:val="0028281E"/>
    <w:rsid w:val="00282DD4"/>
    <w:rsid w:val="002834C8"/>
    <w:rsid w:val="00283ED6"/>
    <w:rsid w:val="00284893"/>
    <w:rsid w:val="00285E78"/>
    <w:rsid w:val="00285F05"/>
    <w:rsid w:val="00286938"/>
    <w:rsid w:val="00286F52"/>
    <w:rsid w:val="0028738B"/>
    <w:rsid w:val="00287F3A"/>
    <w:rsid w:val="0029016B"/>
    <w:rsid w:val="00290299"/>
    <w:rsid w:val="00290B57"/>
    <w:rsid w:val="002919BA"/>
    <w:rsid w:val="002923F4"/>
    <w:rsid w:val="00293234"/>
    <w:rsid w:val="0029479F"/>
    <w:rsid w:val="00294ABF"/>
    <w:rsid w:val="00295C50"/>
    <w:rsid w:val="00295CA1"/>
    <w:rsid w:val="00295CC3"/>
    <w:rsid w:val="0029673A"/>
    <w:rsid w:val="002A0DE4"/>
    <w:rsid w:val="002A1756"/>
    <w:rsid w:val="002A3E30"/>
    <w:rsid w:val="002A47B8"/>
    <w:rsid w:val="002A6D78"/>
    <w:rsid w:val="002A6E83"/>
    <w:rsid w:val="002B013F"/>
    <w:rsid w:val="002B0236"/>
    <w:rsid w:val="002B0F77"/>
    <w:rsid w:val="002B1AD2"/>
    <w:rsid w:val="002B29B7"/>
    <w:rsid w:val="002B318F"/>
    <w:rsid w:val="002B3290"/>
    <w:rsid w:val="002B4794"/>
    <w:rsid w:val="002B5783"/>
    <w:rsid w:val="002B60AB"/>
    <w:rsid w:val="002B61B9"/>
    <w:rsid w:val="002B6979"/>
    <w:rsid w:val="002B7284"/>
    <w:rsid w:val="002B7720"/>
    <w:rsid w:val="002B78A2"/>
    <w:rsid w:val="002B7F4A"/>
    <w:rsid w:val="002C04E9"/>
    <w:rsid w:val="002C08DF"/>
    <w:rsid w:val="002C16FC"/>
    <w:rsid w:val="002C2891"/>
    <w:rsid w:val="002C2D11"/>
    <w:rsid w:val="002C3555"/>
    <w:rsid w:val="002C3815"/>
    <w:rsid w:val="002C43F9"/>
    <w:rsid w:val="002C445C"/>
    <w:rsid w:val="002C5157"/>
    <w:rsid w:val="002C5CC4"/>
    <w:rsid w:val="002C5DD1"/>
    <w:rsid w:val="002C631E"/>
    <w:rsid w:val="002C7465"/>
    <w:rsid w:val="002D1067"/>
    <w:rsid w:val="002D14BA"/>
    <w:rsid w:val="002D29AB"/>
    <w:rsid w:val="002D2AA9"/>
    <w:rsid w:val="002D2C35"/>
    <w:rsid w:val="002D2DE0"/>
    <w:rsid w:val="002D2FC5"/>
    <w:rsid w:val="002D358A"/>
    <w:rsid w:val="002D41D9"/>
    <w:rsid w:val="002D4C9B"/>
    <w:rsid w:val="002D5531"/>
    <w:rsid w:val="002D5738"/>
    <w:rsid w:val="002D72F2"/>
    <w:rsid w:val="002E0AA1"/>
    <w:rsid w:val="002E0E47"/>
    <w:rsid w:val="002E1F9A"/>
    <w:rsid w:val="002E3DA0"/>
    <w:rsid w:val="002E4A99"/>
    <w:rsid w:val="002E5376"/>
    <w:rsid w:val="002E58BD"/>
    <w:rsid w:val="002E5FD7"/>
    <w:rsid w:val="002E666A"/>
    <w:rsid w:val="002E6D39"/>
    <w:rsid w:val="002E6E5E"/>
    <w:rsid w:val="002E6F1D"/>
    <w:rsid w:val="002E73FC"/>
    <w:rsid w:val="002E7BC0"/>
    <w:rsid w:val="002F30E6"/>
    <w:rsid w:val="002F336C"/>
    <w:rsid w:val="002F3941"/>
    <w:rsid w:val="002F4870"/>
    <w:rsid w:val="002F4F76"/>
    <w:rsid w:val="002F52ED"/>
    <w:rsid w:val="002F5ED0"/>
    <w:rsid w:val="002F6D53"/>
    <w:rsid w:val="002F7195"/>
    <w:rsid w:val="002F71FF"/>
    <w:rsid w:val="003009CC"/>
    <w:rsid w:val="00300B58"/>
    <w:rsid w:val="00301685"/>
    <w:rsid w:val="003018CA"/>
    <w:rsid w:val="00301AC4"/>
    <w:rsid w:val="00301DB4"/>
    <w:rsid w:val="00301E54"/>
    <w:rsid w:val="00302977"/>
    <w:rsid w:val="00302BAE"/>
    <w:rsid w:val="00304399"/>
    <w:rsid w:val="003069F6"/>
    <w:rsid w:val="00310B5D"/>
    <w:rsid w:val="00310BB6"/>
    <w:rsid w:val="00314A0A"/>
    <w:rsid w:val="00316011"/>
    <w:rsid w:val="00316608"/>
    <w:rsid w:val="003169B8"/>
    <w:rsid w:val="0031780E"/>
    <w:rsid w:val="00320C47"/>
    <w:rsid w:val="00320DEA"/>
    <w:rsid w:val="0032159D"/>
    <w:rsid w:val="00323B25"/>
    <w:rsid w:val="00325588"/>
    <w:rsid w:val="00325B5B"/>
    <w:rsid w:val="00325BBF"/>
    <w:rsid w:val="0032711D"/>
    <w:rsid w:val="00327E46"/>
    <w:rsid w:val="003311BB"/>
    <w:rsid w:val="00331416"/>
    <w:rsid w:val="00331617"/>
    <w:rsid w:val="003332F4"/>
    <w:rsid w:val="0033471F"/>
    <w:rsid w:val="00335767"/>
    <w:rsid w:val="00335B8E"/>
    <w:rsid w:val="00335DFC"/>
    <w:rsid w:val="00336BFB"/>
    <w:rsid w:val="0033716E"/>
    <w:rsid w:val="003408AE"/>
    <w:rsid w:val="00340C37"/>
    <w:rsid w:val="00340C55"/>
    <w:rsid w:val="00340CAD"/>
    <w:rsid w:val="00340EC6"/>
    <w:rsid w:val="00342F69"/>
    <w:rsid w:val="00343DB8"/>
    <w:rsid w:val="003451CD"/>
    <w:rsid w:val="003452F9"/>
    <w:rsid w:val="00345A2C"/>
    <w:rsid w:val="00345CA7"/>
    <w:rsid w:val="00346D15"/>
    <w:rsid w:val="0034712B"/>
    <w:rsid w:val="003479A9"/>
    <w:rsid w:val="00351E06"/>
    <w:rsid w:val="003521DF"/>
    <w:rsid w:val="00353B06"/>
    <w:rsid w:val="003548A1"/>
    <w:rsid w:val="003548B9"/>
    <w:rsid w:val="003552CF"/>
    <w:rsid w:val="0035583C"/>
    <w:rsid w:val="003569FD"/>
    <w:rsid w:val="00356B75"/>
    <w:rsid w:val="003570BB"/>
    <w:rsid w:val="0035726B"/>
    <w:rsid w:val="00360642"/>
    <w:rsid w:val="003606F5"/>
    <w:rsid w:val="003608CA"/>
    <w:rsid w:val="00361080"/>
    <w:rsid w:val="00362557"/>
    <w:rsid w:val="0036265F"/>
    <w:rsid w:val="0036278B"/>
    <w:rsid w:val="00362D24"/>
    <w:rsid w:val="00364A03"/>
    <w:rsid w:val="00364BAF"/>
    <w:rsid w:val="00365CA6"/>
    <w:rsid w:val="00366135"/>
    <w:rsid w:val="00367A80"/>
    <w:rsid w:val="00367F0E"/>
    <w:rsid w:val="00370400"/>
    <w:rsid w:val="0037073E"/>
    <w:rsid w:val="003711E9"/>
    <w:rsid w:val="003722C3"/>
    <w:rsid w:val="00372651"/>
    <w:rsid w:val="00372CF9"/>
    <w:rsid w:val="00373CD1"/>
    <w:rsid w:val="00373F01"/>
    <w:rsid w:val="00375168"/>
    <w:rsid w:val="0037546D"/>
    <w:rsid w:val="00375867"/>
    <w:rsid w:val="00375B8F"/>
    <w:rsid w:val="00375DEF"/>
    <w:rsid w:val="00375FA0"/>
    <w:rsid w:val="00376647"/>
    <w:rsid w:val="00376881"/>
    <w:rsid w:val="003770E6"/>
    <w:rsid w:val="00377288"/>
    <w:rsid w:val="003773D6"/>
    <w:rsid w:val="003774CE"/>
    <w:rsid w:val="00380041"/>
    <w:rsid w:val="00380562"/>
    <w:rsid w:val="00381DCE"/>
    <w:rsid w:val="00382699"/>
    <w:rsid w:val="0038300A"/>
    <w:rsid w:val="003839D2"/>
    <w:rsid w:val="0038407B"/>
    <w:rsid w:val="00386216"/>
    <w:rsid w:val="00390872"/>
    <w:rsid w:val="00391214"/>
    <w:rsid w:val="00391854"/>
    <w:rsid w:val="00391C4C"/>
    <w:rsid w:val="003926B1"/>
    <w:rsid w:val="00392AD7"/>
    <w:rsid w:val="00393B2D"/>
    <w:rsid w:val="003951D8"/>
    <w:rsid w:val="0039568A"/>
    <w:rsid w:val="00395E39"/>
    <w:rsid w:val="00395F9D"/>
    <w:rsid w:val="0039697C"/>
    <w:rsid w:val="00396EB7"/>
    <w:rsid w:val="00397463"/>
    <w:rsid w:val="003A0422"/>
    <w:rsid w:val="003A077F"/>
    <w:rsid w:val="003A0DB9"/>
    <w:rsid w:val="003A1208"/>
    <w:rsid w:val="003A382C"/>
    <w:rsid w:val="003A428E"/>
    <w:rsid w:val="003A42B9"/>
    <w:rsid w:val="003A4B91"/>
    <w:rsid w:val="003A4F0E"/>
    <w:rsid w:val="003A53CD"/>
    <w:rsid w:val="003A5D01"/>
    <w:rsid w:val="003A74F7"/>
    <w:rsid w:val="003B2CE0"/>
    <w:rsid w:val="003B4041"/>
    <w:rsid w:val="003B4CFD"/>
    <w:rsid w:val="003B5433"/>
    <w:rsid w:val="003B5801"/>
    <w:rsid w:val="003B5C1E"/>
    <w:rsid w:val="003B6DF9"/>
    <w:rsid w:val="003C05BD"/>
    <w:rsid w:val="003C170D"/>
    <w:rsid w:val="003C3880"/>
    <w:rsid w:val="003C3C96"/>
    <w:rsid w:val="003C3CE7"/>
    <w:rsid w:val="003C3F6D"/>
    <w:rsid w:val="003C6F5F"/>
    <w:rsid w:val="003C6F65"/>
    <w:rsid w:val="003C7BC5"/>
    <w:rsid w:val="003D0802"/>
    <w:rsid w:val="003D296A"/>
    <w:rsid w:val="003D4040"/>
    <w:rsid w:val="003D4B1C"/>
    <w:rsid w:val="003D4F5F"/>
    <w:rsid w:val="003D5ACD"/>
    <w:rsid w:val="003D5D56"/>
    <w:rsid w:val="003D7EF6"/>
    <w:rsid w:val="003E0271"/>
    <w:rsid w:val="003E2BFB"/>
    <w:rsid w:val="003E311B"/>
    <w:rsid w:val="003E3195"/>
    <w:rsid w:val="003E3F62"/>
    <w:rsid w:val="003E40A7"/>
    <w:rsid w:val="003E484B"/>
    <w:rsid w:val="003E64D0"/>
    <w:rsid w:val="003E705D"/>
    <w:rsid w:val="003E7FCE"/>
    <w:rsid w:val="003F0261"/>
    <w:rsid w:val="003F1028"/>
    <w:rsid w:val="003F2376"/>
    <w:rsid w:val="003F34BD"/>
    <w:rsid w:val="003F38D4"/>
    <w:rsid w:val="003F4723"/>
    <w:rsid w:val="003F4A76"/>
    <w:rsid w:val="003F4ABD"/>
    <w:rsid w:val="003F50EF"/>
    <w:rsid w:val="003F571F"/>
    <w:rsid w:val="003F57A6"/>
    <w:rsid w:val="003F5877"/>
    <w:rsid w:val="003F5A79"/>
    <w:rsid w:val="003F5ECA"/>
    <w:rsid w:val="003F7104"/>
    <w:rsid w:val="003F799C"/>
    <w:rsid w:val="003F7A12"/>
    <w:rsid w:val="00400585"/>
    <w:rsid w:val="00400721"/>
    <w:rsid w:val="00400875"/>
    <w:rsid w:val="00401A10"/>
    <w:rsid w:val="004020DD"/>
    <w:rsid w:val="0040244A"/>
    <w:rsid w:val="00403784"/>
    <w:rsid w:val="00404804"/>
    <w:rsid w:val="00404EE6"/>
    <w:rsid w:val="004060BA"/>
    <w:rsid w:val="004060E7"/>
    <w:rsid w:val="00406F7F"/>
    <w:rsid w:val="004101A5"/>
    <w:rsid w:val="0041049A"/>
    <w:rsid w:val="00410ADC"/>
    <w:rsid w:val="00411F21"/>
    <w:rsid w:val="0041219B"/>
    <w:rsid w:val="004138F7"/>
    <w:rsid w:val="00414252"/>
    <w:rsid w:val="00414E17"/>
    <w:rsid w:val="00414F6F"/>
    <w:rsid w:val="00415C18"/>
    <w:rsid w:val="00420800"/>
    <w:rsid w:val="00421A5B"/>
    <w:rsid w:val="00422645"/>
    <w:rsid w:val="00423C38"/>
    <w:rsid w:val="004245F8"/>
    <w:rsid w:val="004251F2"/>
    <w:rsid w:val="00425DA2"/>
    <w:rsid w:val="004267E4"/>
    <w:rsid w:val="00430320"/>
    <w:rsid w:val="004303FE"/>
    <w:rsid w:val="004315CA"/>
    <w:rsid w:val="004317BA"/>
    <w:rsid w:val="004318C6"/>
    <w:rsid w:val="00431FCB"/>
    <w:rsid w:val="004352ED"/>
    <w:rsid w:val="004353AC"/>
    <w:rsid w:val="00435416"/>
    <w:rsid w:val="00436A6C"/>
    <w:rsid w:val="00440D8B"/>
    <w:rsid w:val="004416B8"/>
    <w:rsid w:val="00441879"/>
    <w:rsid w:val="0044214D"/>
    <w:rsid w:val="00443490"/>
    <w:rsid w:val="00446F82"/>
    <w:rsid w:val="00447E72"/>
    <w:rsid w:val="00451299"/>
    <w:rsid w:val="00451CEF"/>
    <w:rsid w:val="00452585"/>
    <w:rsid w:val="004527F5"/>
    <w:rsid w:val="00452BC9"/>
    <w:rsid w:val="004546DF"/>
    <w:rsid w:val="0045472B"/>
    <w:rsid w:val="0045482C"/>
    <w:rsid w:val="00454FC1"/>
    <w:rsid w:val="00455251"/>
    <w:rsid w:val="004552F9"/>
    <w:rsid w:val="0045557C"/>
    <w:rsid w:val="00455BC1"/>
    <w:rsid w:val="0046075F"/>
    <w:rsid w:val="00460D13"/>
    <w:rsid w:val="00464727"/>
    <w:rsid w:val="00465162"/>
    <w:rsid w:val="004658D5"/>
    <w:rsid w:val="00465F0E"/>
    <w:rsid w:val="004668DD"/>
    <w:rsid w:val="00467633"/>
    <w:rsid w:val="004678E3"/>
    <w:rsid w:val="00470051"/>
    <w:rsid w:val="00470630"/>
    <w:rsid w:val="0047082A"/>
    <w:rsid w:val="00470867"/>
    <w:rsid w:val="00470F74"/>
    <w:rsid w:val="004713B4"/>
    <w:rsid w:val="0047460C"/>
    <w:rsid w:val="00474BAB"/>
    <w:rsid w:val="00474F8A"/>
    <w:rsid w:val="0047577F"/>
    <w:rsid w:val="0047659D"/>
    <w:rsid w:val="00476BBB"/>
    <w:rsid w:val="00477956"/>
    <w:rsid w:val="00477C8E"/>
    <w:rsid w:val="00477D1A"/>
    <w:rsid w:val="00477D35"/>
    <w:rsid w:val="00477F50"/>
    <w:rsid w:val="004801A2"/>
    <w:rsid w:val="00480754"/>
    <w:rsid w:val="00481025"/>
    <w:rsid w:val="00481802"/>
    <w:rsid w:val="00481D3A"/>
    <w:rsid w:val="004822D9"/>
    <w:rsid w:val="00482532"/>
    <w:rsid w:val="0048706A"/>
    <w:rsid w:val="0049011B"/>
    <w:rsid w:val="004916FA"/>
    <w:rsid w:val="00493DDC"/>
    <w:rsid w:val="004947A5"/>
    <w:rsid w:val="00495068"/>
    <w:rsid w:val="00496232"/>
    <w:rsid w:val="004963FB"/>
    <w:rsid w:val="004964C0"/>
    <w:rsid w:val="00496D9C"/>
    <w:rsid w:val="004977DE"/>
    <w:rsid w:val="004A1D3B"/>
    <w:rsid w:val="004A33E6"/>
    <w:rsid w:val="004A40C0"/>
    <w:rsid w:val="004A43F1"/>
    <w:rsid w:val="004A4C23"/>
    <w:rsid w:val="004A4D9D"/>
    <w:rsid w:val="004A65CE"/>
    <w:rsid w:val="004A6D94"/>
    <w:rsid w:val="004A7EE8"/>
    <w:rsid w:val="004B0FF4"/>
    <w:rsid w:val="004B22E4"/>
    <w:rsid w:val="004B3315"/>
    <w:rsid w:val="004B345D"/>
    <w:rsid w:val="004B4241"/>
    <w:rsid w:val="004B44FC"/>
    <w:rsid w:val="004B5F65"/>
    <w:rsid w:val="004B7AF9"/>
    <w:rsid w:val="004B7AFD"/>
    <w:rsid w:val="004C0595"/>
    <w:rsid w:val="004C0CD4"/>
    <w:rsid w:val="004C1140"/>
    <w:rsid w:val="004C26FA"/>
    <w:rsid w:val="004C4652"/>
    <w:rsid w:val="004C5E38"/>
    <w:rsid w:val="004C7537"/>
    <w:rsid w:val="004C77DE"/>
    <w:rsid w:val="004D0452"/>
    <w:rsid w:val="004D1348"/>
    <w:rsid w:val="004D1456"/>
    <w:rsid w:val="004D21CD"/>
    <w:rsid w:val="004D2C7F"/>
    <w:rsid w:val="004D3B1E"/>
    <w:rsid w:val="004D4E0D"/>
    <w:rsid w:val="004D51B8"/>
    <w:rsid w:val="004D685D"/>
    <w:rsid w:val="004D69F1"/>
    <w:rsid w:val="004D741D"/>
    <w:rsid w:val="004D75F2"/>
    <w:rsid w:val="004E0878"/>
    <w:rsid w:val="004E0C4D"/>
    <w:rsid w:val="004E0D3C"/>
    <w:rsid w:val="004E1B37"/>
    <w:rsid w:val="004E2FF1"/>
    <w:rsid w:val="004E430C"/>
    <w:rsid w:val="004E78A8"/>
    <w:rsid w:val="004F1760"/>
    <w:rsid w:val="004F19A0"/>
    <w:rsid w:val="004F23BB"/>
    <w:rsid w:val="004F46E1"/>
    <w:rsid w:val="004F4841"/>
    <w:rsid w:val="004F4A41"/>
    <w:rsid w:val="004F4D00"/>
    <w:rsid w:val="004F5B14"/>
    <w:rsid w:val="00501460"/>
    <w:rsid w:val="00502A91"/>
    <w:rsid w:val="00502C9D"/>
    <w:rsid w:val="0050386A"/>
    <w:rsid w:val="00504220"/>
    <w:rsid w:val="0050449A"/>
    <w:rsid w:val="00504CD2"/>
    <w:rsid w:val="00505033"/>
    <w:rsid w:val="00505B4E"/>
    <w:rsid w:val="0050738E"/>
    <w:rsid w:val="00507DF4"/>
    <w:rsid w:val="00512181"/>
    <w:rsid w:val="005127B8"/>
    <w:rsid w:val="00512A2E"/>
    <w:rsid w:val="00512B7D"/>
    <w:rsid w:val="005133B0"/>
    <w:rsid w:val="00513526"/>
    <w:rsid w:val="00513FB5"/>
    <w:rsid w:val="00514AC0"/>
    <w:rsid w:val="00515614"/>
    <w:rsid w:val="00517401"/>
    <w:rsid w:val="005175FD"/>
    <w:rsid w:val="0051781E"/>
    <w:rsid w:val="00517AD3"/>
    <w:rsid w:val="00520D13"/>
    <w:rsid w:val="00521C2A"/>
    <w:rsid w:val="00521DF6"/>
    <w:rsid w:val="005220C4"/>
    <w:rsid w:val="00522C66"/>
    <w:rsid w:val="005240D8"/>
    <w:rsid w:val="00524DBA"/>
    <w:rsid w:val="00526770"/>
    <w:rsid w:val="00526F9E"/>
    <w:rsid w:val="0052706A"/>
    <w:rsid w:val="00527B2E"/>
    <w:rsid w:val="0053125B"/>
    <w:rsid w:val="005317C6"/>
    <w:rsid w:val="00531E17"/>
    <w:rsid w:val="00533DEC"/>
    <w:rsid w:val="00535198"/>
    <w:rsid w:val="005353E1"/>
    <w:rsid w:val="00535FB4"/>
    <w:rsid w:val="005365F0"/>
    <w:rsid w:val="0053673C"/>
    <w:rsid w:val="00537A1C"/>
    <w:rsid w:val="00540683"/>
    <w:rsid w:val="005443D3"/>
    <w:rsid w:val="00544601"/>
    <w:rsid w:val="00545AD1"/>
    <w:rsid w:val="00546045"/>
    <w:rsid w:val="00546903"/>
    <w:rsid w:val="0054761B"/>
    <w:rsid w:val="005501F3"/>
    <w:rsid w:val="00550A59"/>
    <w:rsid w:val="00551FBB"/>
    <w:rsid w:val="0055227A"/>
    <w:rsid w:val="00552843"/>
    <w:rsid w:val="00552FE2"/>
    <w:rsid w:val="00553336"/>
    <w:rsid w:val="00553448"/>
    <w:rsid w:val="00554166"/>
    <w:rsid w:val="00554756"/>
    <w:rsid w:val="00555424"/>
    <w:rsid w:val="00556A8B"/>
    <w:rsid w:val="005576AC"/>
    <w:rsid w:val="0056331E"/>
    <w:rsid w:val="00563776"/>
    <w:rsid w:val="005642C1"/>
    <w:rsid w:val="005643E8"/>
    <w:rsid w:val="005645F3"/>
    <w:rsid w:val="00564D52"/>
    <w:rsid w:val="0056515C"/>
    <w:rsid w:val="005653D7"/>
    <w:rsid w:val="00565410"/>
    <w:rsid w:val="00566042"/>
    <w:rsid w:val="005704A0"/>
    <w:rsid w:val="005708B3"/>
    <w:rsid w:val="00571548"/>
    <w:rsid w:val="00572E89"/>
    <w:rsid w:val="00573662"/>
    <w:rsid w:val="00573959"/>
    <w:rsid w:val="00573FC4"/>
    <w:rsid w:val="005754B7"/>
    <w:rsid w:val="00576C7C"/>
    <w:rsid w:val="00577A24"/>
    <w:rsid w:val="00580100"/>
    <w:rsid w:val="00580CB0"/>
    <w:rsid w:val="005814BB"/>
    <w:rsid w:val="00581B95"/>
    <w:rsid w:val="005829A6"/>
    <w:rsid w:val="00583999"/>
    <w:rsid w:val="0058466F"/>
    <w:rsid w:val="00584FB0"/>
    <w:rsid w:val="005872BF"/>
    <w:rsid w:val="00593213"/>
    <w:rsid w:val="00593571"/>
    <w:rsid w:val="005953DF"/>
    <w:rsid w:val="005954EA"/>
    <w:rsid w:val="005957F3"/>
    <w:rsid w:val="00595883"/>
    <w:rsid w:val="00595BA5"/>
    <w:rsid w:val="00595EE7"/>
    <w:rsid w:val="005960BA"/>
    <w:rsid w:val="005977B4"/>
    <w:rsid w:val="005977D6"/>
    <w:rsid w:val="00597F4B"/>
    <w:rsid w:val="005A08B8"/>
    <w:rsid w:val="005A44EF"/>
    <w:rsid w:val="005A6143"/>
    <w:rsid w:val="005A6595"/>
    <w:rsid w:val="005A70E6"/>
    <w:rsid w:val="005A765E"/>
    <w:rsid w:val="005B0144"/>
    <w:rsid w:val="005B067A"/>
    <w:rsid w:val="005B09D9"/>
    <w:rsid w:val="005B1598"/>
    <w:rsid w:val="005B28AB"/>
    <w:rsid w:val="005B2B81"/>
    <w:rsid w:val="005B2D8C"/>
    <w:rsid w:val="005B3427"/>
    <w:rsid w:val="005B44A3"/>
    <w:rsid w:val="005B4803"/>
    <w:rsid w:val="005B4DE5"/>
    <w:rsid w:val="005B4DEA"/>
    <w:rsid w:val="005B53AF"/>
    <w:rsid w:val="005C0ABE"/>
    <w:rsid w:val="005C1C27"/>
    <w:rsid w:val="005C20CF"/>
    <w:rsid w:val="005C264C"/>
    <w:rsid w:val="005C3859"/>
    <w:rsid w:val="005C40FD"/>
    <w:rsid w:val="005C4355"/>
    <w:rsid w:val="005C5496"/>
    <w:rsid w:val="005C5921"/>
    <w:rsid w:val="005C661E"/>
    <w:rsid w:val="005D0062"/>
    <w:rsid w:val="005D0D89"/>
    <w:rsid w:val="005D25B8"/>
    <w:rsid w:val="005D282C"/>
    <w:rsid w:val="005D3007"/>
    <w:rsid w:val="005D3069"/>
    <w:rsid w:val="005D36E4"/>
    <w:rsid w:val="005D4B29"/>
    <w:rsid w:val="005D5BD2"/>
    <w:rsid w:val="005D60AF"/>
    <w:rsid w:val="005D60B9"/>
    <w:rsid w:val="005D7BF2"/>
    <w:rsid w:val="005E01D6"/>
    <w:rsid w:val="005E11DF"/>
    <w:rsid w:val="005E1382"/>
    <w:rsid w:val="005E24EC"/>
    <w:rsid w:val="005E2BB9"/>
    <w:rsid w:val="005E2CA4"/>
    <w:rsid w:val="005E31CF"/>
    <w:rsid w:val="005E32C3"/>
    <w:rsid w:val="005E4130"/>
    <w:rsid w:val="005E4561"/>
    <w:rsid w:val="005E4EFD"/>
    <w:rsid w:val="005E60CF"/>
    <w:rsid w:val="005E69E0"/>
    <w:rsid w:val="005E72B8"/>
    <w:rsid w:val="005F1FF0"/>
    <w:rsid w:val="005F2184"/>
    <w:rsid w:val="005F2283"/>
    <w:rsid w:val="005F306F"/>
    <w:rsid w:val="005F35EB"/>
    <w:rsid w:val="005F582A"/>
    <w:rsid w:val="005F5EC8"/>
    <w:rsid w:val="005F77C9"/>
    <w:rsid w:val="005F7B9C"/>
    <w:rsid w:val="005F7E06"/>
    <w:rsid w:val="005F7FBF"/>
    <w:rsid w:val="0060073C"/>
    <w:rsid w:val="00601BDC"/>
    <w:rsid w:val="00601F7A"/>
    <w:rsid w:val="006036D8"/>
    <w:rsid w:val="00603E68"/>
    <w:rsid w:val="0060628B"/>
    <w:rsid w:val="0060676A"/>
    <w:rsid w:val="00606975"/>
    <w:rsid w:val="00607BBA"/>
    <w:rsid w:val="00612278"/>
    <w:rsid w:val="006122BD"/>
    <w:rsid w:val="00612FC7"/>
    <w:rsid w:val="0061320A"/>
    <w:rsid w:val="00613551"/>
    <w:rsid w:val="006139C2"/>
    <w:rsid w:val="00613EFE"/>
    <w:rsid w:val="006149FB"/>
    <w:rsid w:val="00615A7C"/>
    <w:rsid w:val="00615A9D"/>
    <w:rsid w:val="00615FC8"/>
    <w:rsid w:val="00616AAC"/>
    <w:rsid w:val="0061762C"/>
    <w:rsid w:val="00620057"/>
    <w:rsid w:val="0062119A"/>
    <w:rsid w:val="0062195A"/>
    <w:rsid w:val="0062236C"/>
    <w:rsid w:val="00622631"/>
    <w:rsid w:val="00622757"/>
    <w:rsid w:val="00624551"/>
    <w:rsid w:val="00625014"/>
    <w:rsid w:val="00625476"/>
    <w:rsid w:val="00625C91"/>
    <w:rsid w:val="00626B58"/>
    <w:rsid w:val="006308F0"/>
    <w:rsid w:val="00630BF8"/>
    <w:rsid w:val="006319F4"/>
    <w:rsid w:val="0063257B"/>
    <w:rsid w:val="006347FA"/>
    <w:rsid w:val="00635218"/>
    <w:rsid w:val="00635D43"/>
    <w:rsid w:val="00635FA1"/>
    <w:rsid w:val="00636036"/>
    <w:rsid w:val="006370E3"/>
    <w:rsid w:val="00640242"/>
    <w:rsid w:val="006406A1"/>
    <w:rsid w:val="00641797"/>
    <w:rsid w:val="00642D3E"/>
    <w:rsid w:val="00643651"/>
    <w:rsid w:val="006436DA"/>
    <w:rsid w:val="006446C3"/>
    <w:rsid w:val="006452EF"/>
    <w:rsid w:val="00645348"/>
    <w:rsid w:val="006468EC"/>
    <w:rsid w:val="006469E5"/>
    <w:rsid w:val="00646AE0"/>
    <w:rsid w:val="006477B6"/>
    <w:rsid w:val="006478EE"/>
    <w:rsid w:val="006504EC"/>
    <w:rsid w:val="00650EBE"/>
    <w:rsid w:val="0065332A"/>
    <w:rsid w:val="0065336C"/>
    <w:rsid w:val="0065387E"/>
    <w:rsid w:val="00655461"/>
    <w:rsid w:val="00655840"/>
    <w:rsid w:val="006564C0"/>
    <w:rsid w:val="00656600"/>
    <w:rsid w:val="00657030"/>
    <w:rsid w:val="0066004B"/>
    <w:rsid w:val="0066097C"/>
    <w:rsid w:val="00663A2E"/>
    <w:rsid w:val="006642CC"/>
    <w:rsid w:val="0066462D"/>
    <w:rsid w:val="00664BE7"/>
    <w:rsid w:val="00664FC4"/>
    <w:rsid w:val="00666EDE"/>
    <w:rsid w:val="006679E8"/>
    <w:rsid w:val="00667AA5"/>
    <w:rsid w:val="00671680"/>
    <w:rsid w:val="006729BA"/>
    <w:rsid w:val="00672B6F"/>
    <w:rsid w:val="0067353F"/>
    <w:rsid w:val="006737B2"/>
    <w:rsid w:val="00673947"/>
    <w:rsid w:val="00673D49"/>
    <w:rsid w:val="00673F30"/>
    <w:rsid w:val="00675057"/>
    <w:rsid w:val="0067572F"/>
    <w:rsid w:val="00675FA3"/>
    <w:rsid w:val="006775A2"/>
    <w:rsid w:val="00680253"/>
    <w:rsid w:val="00681A87"/>
    <w:rsid w:val="00682501"/>
    <w:rsid w:val="0068267E"/>
    <w:rsid w:val="0068364D"/>
    <w:rsid w:val="0068441E"/>
    <w:rsid w:val="006844EB"/>
    <w:rsid w:val="0068491B"/>
    <w:rsid w:val="00684A3F"/>
    <w:rsid w:val="00684DDC"/>
    <w:rsid w:val="00686E38"/>
    <w:rsid w:val="00686EE6"/>
    <w:rsid w:val="00687421"/>
    <w:rsid w:val="0069183A"/>
    <w:rsid w:val="006919BB"/>
    <w:rsid w:val="006928A8"/>
    <w:rsid w:val="006932E2"/>
    <w:rsid w:val="0069414F"/>
    <w:rsid w:val="006957F6"/>
    <w:rsid w:val="00695E76"/>
    <w:rsid w:val="00695EC1"/>
    <w:rsid w:val="00696C85"/>
    <w:rsid w:val="00696EF4"/>
    <w:rsid w:val="00696F75"/>
    <w:rsid w:val="00696FD7"/>
    <w:rsid w:val="006A0367"/>
    <w:rsid w:val="006A09E2"/>
    <w:rsid w:val="006A0D78"/>
    <w:rsid w:val="006A1D38"/>
    <w:rsid w:val="006A3063"/>
    <w:rsid w:val="006A3325"/>
    <w:rsid w:val="006A36D5"/>
    <w:rsid w:val="006A3E23"/>
    <w:rsid w:val="006A4778"/>
    <w:rsid w:val="006A5C32"/>
    <w:rsid w:val="006A62D5"/>
    <w:rsid w:val="006A6939"/>
    <w:rsid w:val="006A69F6"/>
    <w:rsid w:val="006A7ED8"/>
    <w:rsid w:val="006B015B"/>
    <w:rsid w:val="006B3533"/>
    <w:rsid w:val="006B3688"/>
    <w:rsid w:val="006B4115"/>
    <w:rsid w:val="006B427F"/>
    <w:rsid w:val="006B52D2"/>
    <w:rsid w:val="006B5E7B"/>
    <w:rsid w:val="006B6158"/>
    <w:rsid w:val="006B7214"/>
    <w:rsid w:val="006B792D"/>
    <w:rsid w:val="006C07C9"/>
    <w:rsid w:val="006C0A0E"/>
    <w:rsid w:val="006C1523"/>
    <w:rsid w:val="006C17A4"/>
    <w:rsid w:val="006C235C"/>
    <w:rsid w:val="006C2628"/>
    <w:rsid w:val="006C27EC"/>
    <w:rsid w:val="006C38D4"/>
    <w:rsid w:val="006C3FF8"/>
    <w:rsid w:val="006C43A4"/>
    <w:rsid w:val="006C5BE1"/>
    <w:rsid w:val="006C5F4E"/>
    <w:rsid w:val="006C6A92"/>
    <w:rsid w:val="006C6DBB"/>
    <w:rsid w:val="006C6DD9"/>
    <w:rsid w:val="006C72A1"/>
    <w:rsid w:val="006C76C0"/>
    <w:rsid w:val="006C7884"/>
    <w:rsid w:val="006D0562"/>
    <w:rsid w:val="006D08BC"/>
    <w:rsid w:val="006D0D3E"/>
    <w:rsid w:val="006D0DA3"/>
    <w:rsid w:val="006D15FA"/>
    <w:rsid w:val="006D28DC"/>
    <w:rsid w:val="006D449D"/>
    <w:rsid w:val="006D5B4E"/>
    <w:rsid w:val="006D5D5F"/>
    <w:rsid w:val="006D6C8E"/>
    <w:rsid w:val="006D7431"/>
    <w:rsid w:val="006D7ADF"/>
    <w:rsid w:val="006E0A0A"/>
    <w:rsid w:val="006E173C"/>
    <w:rsid w:val="006E21B2"/>
    <w:rsid w:val="006E32D6"/>
    <w:rsid w:val="006E33E1"/>
    <w:rsid w:val="006E34C2"/>
    <w:rsid w:val="006E397B"/>
    <w:rsid w:val="006E3D42"/>
    <w:rsid w:val="006E4564"/>
    <w:rsid w:val="006E4B35"/>
    <w:rsid w:val="006E4CE5"/>
    <w:rsid w:val="006E4F06"/>
    <w:rsid w:val="006E50C8"/>
    <w:rsid w:val="006E6630"/>
    <w:rsid w:val="006E6E46"/>
    <w:rsid w:val="006E7B5D"/>
    <w:rsid w:val="006E7D5F"/>
    <w:rsid w:val="006F0AD4"/>
    <w:rsid w:val="006F1413"/>
    <w:rsid w:val="006F30F6"/>
    <w:rsid w:val="006F35FE"/>
    <w:rsid w:val="006F51F2"/>
    <w:rsid w:val="006F57A5"/>
    <w:rsid w:val="0070142A"/>
    <w:rsid w:val="00701E20"/>
    <w:rsid w:val="00702FD8"/>
    <w:rsid w:val="00704420"/>
    <w:rsid w:val="0070477C"/>
    <w:rsid w:val="007049E6"/>
    <w:rsid w:val="0070561C"/>
    <w:rsid w:val="00707789"/>
    <w:rsid w:val="007106A6"/>
    <w:rsid w:val="00710901"/>
    <w:rsid w:val="0071196A"/>
    <w:rsid w:val="0071478D"/>
    <w:rsid w:val="00714E57"/>
    <w:rsid w:val="00715B0A"/>
    <w:rsid w:val="0071627F"/>
    <w:rsid w:val="00716334"/>
    <w:rsid w:val="007165EC"/>
    <w:rsid w:val="00716711"/>
    <w:rsid w:val="007167E5"/>
    <w:rsid w:val="0072145C"/>
    <w:rsid w:val="0072147D"/>
    <w:rsid w:val="00722EEF"/>
    <w:rsid w:val="00723869"/>
    <w:rsid w:val="00723A65"/>
    <w:rsid w:val="0072461F"/>
    <w:rsid w:val="00724A39"/>
    <w:rsid w:val="00725A98"/>
    <w:rsid w:val="00725D1F"/>
    <w:rsid w:val="007266DD"/>
    <w:rsid w:val="00726745"/>
    <w:rsid w:val="00726818"/>
    <w:rsid w:val="00726825"/>
    <w:rsid w:val="00726936"/>
    <w:rsid w:val="00730E75"/>
    <w:rsid w:val="007329E0"/>
    <w:rsid w:val="00734651"/>
    <w:rsid w:val="00735361"/>
    <w:rsid w:val="00737B72"/>
    <w:rsid w:val="007408DE"/>
    <w:rsid w:val="00741A65"/>
    <w:rsid w:val="007439D1"/>
    <w:rsid w:val="00744AB5"/>
    <w:rsid w:val="007462A3"/>
    <w:rsid w:val="00747130"/>
    <w:rsid w:val="00747141"/>
    <w:rsid w:val="007475E1"/>
    <w:rsid w:val="007476D4"/>
    <w:rsid w:val="00747DFF"/>
    <w:rsid w:val="007518B6"/>
    <w:rsid w:val="0075361A"/>
    <w:rsid w:val="00753F00"/>
    <w:rsid w:val="00754164"/>
    <w:rsid w:val="007544B4"/>
    <w:rsid w:val="00754DD5"/>
    <w:rsid w:val="0075548F"/>
    <w:rsid w:val="00755BBC"/>
    <w:rsid w:val="00756C08"/>
    <w:rsid w:val="00757189"/>
    <w:rsid w:val="00757CEF"/>
    <w:rsid w:val="00760E7D"/>
    <w:rsid w:val="00761790"/>
    <w:rsid w:val="00762324"/>
    <w:rsid w:val="00762D3A"/>
    <w:rsid w:val="00763C0B"/>
    <w:rsid w:val="007648B0"/>
    <w:rsid w:val="00764E0B"/>
    <w:rsid w:val="0076536A"/>
    <w:rsid w:val="007658BA"/>
    <w:rsid w:val="007666A1"/>
    <w:rsid w:val="00767562"/>
    <w:rsid w:val="0076779E"/>
    <w:rsid w:val="007701B7"/>
    <w:rsid w:val="0077156A"/>
    <w:rsid w:val="00771652"/>
    <w:rsid w:val="007717F0"/>
    <w:rsid w:val="00772927"/>
    <w:rsid w:val="00774256"/>
    <w:rsid w:val="007772DB"/>
    <w:rsid w:val="00777E57"/>
    <w:rsid w:val="00777F3E"/>
    <w:rsid w:val="00781FBB"/>
    <w:rsid w:val="00782478"/>
    <w:rsid w:val="00783645"/>
    <w:rsid w:val="0078389A"/>
    <w:rsid w:val="00783D7E"/>
    <w:rsid w:val="007841C3"/>
    <w:rsid w:val="00784B59"/>
    <w:rsid w:val="00785380"/>
    <w:rsid w:val="007863B8"/>
    <w:rsid w:val="00786D67"/>
    <w:rsid w:val="007909BE"/>
    <w:rsid w:val="00790DD1"/>
    <w:rsid w:val="007910A0"/>
    <w:rsid w:val="00792090"/>
    <w:rsid w:val="007922E9"/>
    <w:rsid w:val="007928E4"/>
    <w:rsid w:val="00792B3E"/>
    <w:rsid w:val="00793F31"/>
    <w:rsid w:val="00794515"/>
    <w:rsid w:val="0079463B"/>
    <w:rsid w:val="00794726"/>
    <w:rsid w:val="00794EB0"/>
    <w:rsid w:val="007951C6"/>
    <w:rsid w:val="007952A2"/>
    <w:rsid w:val="00795938"/>
    <w:rsid w:val="00795BFB"/>
    <w:rsid w:val="007A33DF"/>
    <w:rsid w:val="007A3B7C"/>
    <w:rsid w:val="007A3E21"/>
    <w:rsid w:val="007A43A9"/>
    <w:rsid w:val="007A5DD0"/>
    <w:rsid w:val="007A6051"/>
    <w:rsid w:val="007A76FD"/>
    <w:rsid w:val="007A7D89"/>
    <w:rsid w:val="007B0B42"/>
    <w:rsid w:val="007B329C"/>
    <w:rsid w:val="007B36E0"/>
    <w:rsid w:val="007B5550"/>
    <w:rsid w:val="007B6AA3"/>
    <w:rsid w:val="007B7B96"/>
    <w:rsid w:val="007B7F13"/>
    <w:rsid w:val="007C1176"/>
    <w:rsid w:val="007C1956"/>
    <w:rsid w:val="007C1FB9"/>
    <w:rsid w:val="007C1FBA"/>
    <w:rsid w:val="007C2154"/>
    <w:rsid w:val="007C30B8"/>
    <w:rsid w:val="007C385B"/>
    <w:rsid w:val="007C5B46"/>
    <w:rsid w:val="007C5C87"/>
    <w:rsid w:val="007C704D"/>
    <w:rsid w:val="007D1DEE"/>
    <w:rsid w:val="007D226A"/>
    <w:rsid w:val="007D29D4"/>
    <w:rsid w:val="007D2E20"/>
    <w:rsid w:val="007D32E3"/>
    <w:rsid w:val="007D3876"/>
    <w:rsid w:val="007D39CD"/>
    <w:rsid w:val="007D4357"/>
    <w:rsid w:val="007D4381"/>
    <w:rsid w:val="007D4E35"/>
    <w:rsid w:val="007D5423"/>
    <w:rsid w:val="007D589B"/>
    <w:rsid w:val="007D6511"/>
    <w:rsid w:val="007D6888"/>
    <w:rsid w:val="007D6B50"/>
    <w:rsid w:val="007D6E86"/>
    <w:rsid w:val="007D72E3"/>
    <w:rsid w:val="007E0147"/>
    <w:rsid w:val="007E02A4"/>
    <w:rsid w:val="007E032E"/>
    <w:rsid w:val="007E0448"/>
    <w:rsid w:val="007E1677"/>
    <w:rsid w:val="007E1A5B"/>
    <w:rsid w:val="007E2F75"/>
    <w:rsid w:val="007E4BF8"/>
    <w:rsid w:val="007E4E4A"/>
    <w:rsid w:val="007E6309"/>
    <w:rsid w:val="007E7469"/>
    <w:rsid w:val="007E78B4"/>
    <w:rsid w:val="007E7C2F"/>
    <w:rsid w:val="007F011F"/>
    <w:rsid w:val="007F04EF"/>
    <w:rsid w:val="007F0F25"/>
    <w:rsid w:val="007F14C1"/>
    <w:rsid w:val="007F1EC5"/>
    <w:rsid w:val="007F498D"/>
    <w:rsid w:val="007F5973"/>
    <w:rsid w:val="007F6C72"/>
    <w:rsid w:val="007F7365"/>
    <w:rsid w:val="007F76A7"/>
    <w:rsid w:val="007F7965"/>
    <w:rsid w:val="007F7CE3"/>
    <w:rsid w:val="008001F4"/>
    <w:rsid w:val="00800BE8"/>
    <w:rsid w:val="0080138C"/>
    <w:rsid w:val="00801922"/>
    <w:rsid w:val="00801FF8"/>
    <w:rsid w:val="00802B20"/>
    <w:rsid w:val="008035B5"/>
    <w:rsid w:val="008044E5"/>
    <w:rsid w:val="008045DD"/>
    <w:rsid w:val="00804781"/>
    <w:rsid w:val="00804976"/>
    <w:rsid w:val="00805A72"/>
    <w:rsid w:val="00810850"/>
    <w:rsid w:val="008112A9"/>
    <w:rsid w:val="00811B6C"/>
    <w:rsid w:val="00811C51"/>
    <w:rsid w:val="00812194"/>
    <w:rsid w:val="008139B0"/>
    <w:rsid w:val="008139E1"/>
    <w:rsid w:val="0081420C"/>
    <w:rsid w:val="0081434D"/>
    <w:rsid w:val="008153B3"/>
    <w:rsid w:val="0081574C"/>
    <w:rsid w:val="00816700"/>
    <w:rsid w:val="008171D9"/>
    <w:rsid w:val="00817347"/>
    <w:rsid w:val="00817428"/>
    <w:rsid w:val="00821467"/>
    <w:rsid w:val="008216B2"/>
    <w:rsid w:val="00821B54"/>
    <w:rsid w:val="008225E7"/>
    <w:rsid w:val="008226D0"/>
    <w:rsid w:val="00823120"/>
    <w:rsid w:val="00823B46"/>
    <w:rsid w:val="008242B7"/>
    <w:rsid w:val="00824403"/>
    <w:rsid w:val="008258FF"/>
    <w:rsid w:val="008264E9"/>
    <w:rsid w:val="008269FA"/>
    <w:rsid w:val="008303F8"/>
    <w:rsid w:val="0083307B"/>
    <w:rsid w:val="00833480"/>
    <w:rsid w:val="00833710"/>
    <w:rsid w:val="00833CEC"/>
    <w:rsid w:val="00835E63"/>
    <w:rsid w:val="008361A6"/>
    <w:rsid w:val="0083685F"/>
    <w:rsid w:val="00836BB1"/>
    <w:rsid w:val="00837493"/>
    <w:rsid w:val="008374DE"/>
    <w:rsid w:val="00837C8C"/>
    <w:rsid w:val="00840148"/>
    <w:rsid w:val="00842DFD"/>
    <w:rsid w:val="00844477"/>
    <w:rsid w:val="0084490A"/>
    <w:rsid w:val="00844CD4"/>
    <w:rsid w:val="00846856"/>
    <w:rsid w:val="00846E21"/>
    <w:rsid w:val="0084754F"/>
    <w:rsid w:val="00850233"/>
    <w:rsid w:val="0085035A"/>
    <w:rsid w:val="008505C5"/>
    <w:rsid w:val="00850CDA"/>
    <w:rsid w:val="00851FB7"/>
    <w:rsid w:val="008520B2"/>
    <w:rsid w:val="00853666"/>
    <w:rsid w:val="00855400"/>
    <w:rsid w:val="00855E2F"/>
    <w:rsid w:val="008564D1"/>
    <w:rsid w:val="008565A4"/>
    <w:rsid w:val="00856C7E"/>
    <w:rsid w:val="00856EC5"/>
    <w:rsid w:val="00857384"/>
    <w:rsid w:val="00861353"/>
    <w:rsid w:val="008613FD"/>
    <w:rsid w:val="00861A9F"/>
    <w:rsid w:val="008628B4"/>
    <w:rsid w:val="0086393A"/>
    <w:rsid w:val="00863950"/>
    <w:rsid w:val="00864666"/>
    <w:rsid w:val="00864871"/>
    <w:rsid w:val="00864D28"/>
    <w:rsid w:val="00865672"/>
    <w:rsid w:val="0087039E"/>
    <w:rsid w:val="008703EA"/>
    <w:rsid w:val="00870B90"/>
    <w:rsid w:val="008722BF"/>
    <w:rsid w:val="008732CD"/>
    <w:rsid w:val="0087483A"/>
    <w:rsid w:val="0087490E"/>
    <w:rsid w:val="00875D8A"/>
    <w:rsid w:val="00876A44"/>
    <w:rsid w:val="00880505"/>
    <w:rsid w:val="00881EC0"/>
    <w:rsid w:val="0088260A"/>
    <w:rsid w:val="00882C34"/>
    <w:rsid w:val="008839C4"/>
    <w:rsid w:val="00883C47"/>
    <w:rsid w:val="00884007"/>
    <w:rsid w:val="008841D5"/>
    <w:rsid w:val="0088508D"/>
    <w:rsid w:val="00885F34"/>
    <w:rsid w:val="00886F01"/>
    <w:rsid w:val="00887775"/>
    <w:rsid w:val="00890E32"/>
    <w:rsid w:val="00892099"/>
    <w:rsid w:val="00892917"/>
    <w:rsid w:val="00892AC8"/>
    <w:rsid w:val="0089452F"/>
    <w:rsid w:val="0089476B"/>
    <w:rsid w:val="00894CC9"/>
    <w:rsid w:val="00894E69"/>
    <w:rsid w:val="008961A3"/>
    <w:rsid w:val="00897EF1"/>
    <w:rsid w:val="008A0341"/>
    <w:rsid w:val="008A0A28"/>
    <w:rsid w:val="008A0BF8"/>
    <w:rsid w:val="008A1707"/>
    <w:rsid w:val="008A1756"/>
    <w:rsid w:val="008A25FE"/>
    <w:rsid w:val="008A2AD0"/>
    <w:rsid w:val="008A2C14"/>
    <w:rsid w:val="008A3446"/>
    <w:rsid w:val="008A40BE"/>
    <w:rsid w:val="008A4295"/>
    <w:rsid w:val="008A62AF"/>
    <w:rsid w:val="008A62D2"/>
    <w:rsid w:val="008A6894"/>
    <w:rsid w:val="008A7011"/>
    <w:rsid w:val="008B0601"/>
    <w:rsid w:val="008B0875"/>
    <w:rsid w:val="008B1B42"/>
    <w:rsid w:val="008B4086"/>
    <w:rsid w:val="008B419F"/>
    <w:rsid w:val="008B6FA6"/>
    <w:rsid w:val="008C0479"/>
    <w:rsid w:val="008C15A9"/>
    <w:rsid w:val="008C2244"/>
    <w:rsid w:val="008C2B3F"/>
    <w:rsid w:val="008C362A"/>
    <w:rsid w:val="008C3847"/>
    <w:rsid w:val="008C384E"/>
    <w:rsid w:val="008C3F19"/>
    <w:rsid w:val="008C6A79"/>
    <w:rsid w:val="008C6CC5"/>
    <w:rsid w:val="008C722E"/>
    <w:rsid w:val="008C7A96"/>
    <w:rsid w:val="008D2507"/>
    <w:rsid w:val="008D2526"/>
    <w:rsid w:val="008D5A3D"/>
    <w:rsid w:val="008D5A47"/>
    <w:rsid w:val="008D5A66"/>
    <w:rsid w:val="008D7751"/>
    <w:rsid w:val="008E0418"/>
    <w:rsid w:val="008E0A5F"/>
    <w:rsid w:val="008E0B27"/>
    <w:rsid w:val="008E1647"/>
    <w:rsid w:val="008E1AD2"/>
    <w:rsid w:val="008E1B61"/>
    <w:rsid w:val="008E1D54"/>
    <w:rsid w:val="008E244F"/>
    <w:rsid w:val="008E3FAD"/>
    <w:rsid w:val="008E663A"/>
    <w:rsid w:val="008E7A40"/>
    <w:rsid w:val="008F0DF5"/>
    <w:rsid w:val="008F1279"/>
    <w:rsid w:val="008F1894"/>
    <w:rsid w:val="008F1927"/>
    <w:rsid w:val="008F1AC6"/>
    <w:rsid w:val="008F2A9A"/>
    <w:rsid w:val="008F3278"/>
    <w:rsid w:val="008F3311"/>
    <w:rsid w:val="008F372A"/>
    <w:rsid w:val="008F3CD1"/>
    <w:rsid w:val="008F3F99"/>
    <w:rsid w:val="008F531E"/>
    <w:rsid w:val="008F7499"/>
    <w:rsid w:val="008F7B2D"/>
    <w:rsid w:val="009012EE"/>
    <w:rsid w:val="009019E5"/>
    <w:rsid w:val="00901CA7"/>
    <w:rsid w:val="009020F8"/>
    <w:rsid w:val="0090300B"/>
    <w:rsid w:val="00903104"/>
    <w:rsid w:val="00903DAB"/>
    <w:rsid w:val="00904151"/>
    <w:rsid w:val="00904DB8"/>
    <w:rsid w:val="00906A27"/>
    <w:rsid w:val="0091103B"/>
    <w:rsid w:val="009125AE"/>
    <w:rsid w:val="0091406B"/>
    <w:rsid w:val="0091545C"/>
    <w:rsid w:val="009154E0"/>
    <w:rsid w:val="00915B30"/>
    <w:rsid w:val="00915BD8"/>
    <w:rsid w:val="00915CDD"/>
    <w:rsid w:val="0091634F"/>
    <w:rsid w:val="00916AEA"/>
    <w:rsid w:val="00916BB8"/>
    <w:rsid w:val="00917B18"/>
    <w:rsid w:val="00920804"/>
    <w:rsid w:val="00920D0A"/>
    <w:rsid w:val="00921E1D"/>
    <w:rsid w:val="009229B6"/>
    <w:rsid w:val="0092563F"/>
    <w:rsid w:val="00926BC8"/>
    <w:rsid w:val="00927BC5"/>
    <w:rsid w:val="00930409"/>
    <w:rsid w:val="00930506"/>
    <w:rsid w:val="009307D3"/>
    <w:rsid w:val="0093154A"/>
    <w:rsid w:val="0093216E"/>
    <w:rsid w:val="00932B46"/>
    <w:rsid w:val="00936503"/>
    <w:rsid w:val="009370D6"/>
    <w:rsid w:val="009371A5"/>
    <w:rsid w:val="0094021E"/>
    <w:rsid w:val="00940F36"/>
    <w:rsid w:val="0094110B"/>
    <w:rsid w:val="00941211"/>
    <w:rsid w:val="00941460"/>
    <w:rsid w:val="009419F6"/>
    <w:rsid w:val="00942C58"/>
    <w:rsid w:val="009449B7"/>
    <w:rsid w:val="00944EAB"/>
    <w:rsid w:val="00945142"/>
    <w:rsid w:val="00945DC5"/>
    <w:rsid w:val="00945FF4"/>
    <w:rsid w:val="00946926"/>
    <w:rsid w:val="009477A0"/>
    <w:rsid w:val="009478B7"/>
    <w:rsid w:val="0095429B"/>
    <w:rsid w:val="00954437"/>
    <w:rsid w:val="00954E45"/>
    <w:rsid w:val="00955462"/>
    <w:rsid w:val="009557AB"/>
    <w:rsid w:val="00957296"/>
    <w:rsid w:val="00960DFA"/>
    <w:rsid w:val="00961882"/>
    <w:rsid w:val="00961A7F"/>
    <w:rsid w:val="0096255A"/>
    <w:rsid w:val="00962B5C"/>
    <w:rsid w:val="00963480"/>
    <w:rsid w:val="0096374B"/>
    <w:rsid w:val="00963875"/>
    <w:rsid w:val="0096441B"/>
    <w:rsid w:val="00964D39"/>
    <w:rsid w:val="0096516E"/>
    <w:rsid w:val="009668C6"/>
    <w:rsid w:val="00966B06"/>
    <w:rsid w:val="00966FA1"/>
    <w:rsid w:val="00970CF5"/>
    <w:rsid w:val="00971B0D"/>
    <w:rsid w:val="00973594"/>
    <w:rsid w:val="0097417E"/>
    <w:rsid w:val="009746E8"/>
    <w:rsid w:val="009751A2"/>
    <w:rsid w:val="00975651"/>
    <w:rsid w:val="0097580D"/>
    <w:rsid w:val="00975D60"/>
    <w:rsid w:val="00975E67"/>
    <w:rsid w:val="00976909"/>
    <w:rsid w:val="00977779"/>
    <w:rsid w:val="00977CAC"/>
    <w:rsid w:val="00981A32"/>
    <w:rsid w:val="009828E8"/>
    <w:rsid w:val="0098307E"/>
    <w:rsid w:val="00983570"/>
    <w:rsid w:val="0098447D"/>
    <w:rsid w:val="00986783"/>
    <w:rsid w:val="009867E2"/>
    <w:rsid w:val="0098786A"/>
    <w:rsid w:val="009906A1"/>
    <w:rsid w:val="00990AEC"/>
    <w:rsid w:val="0099228F"/>
    <w:rsid w:val="009928DC"/>
    <w:rsid w:val="00992D11"/>
    <w:rsid w:val="00993361"/>
    <w:rsid w:val="00994039"/>
    <w:rsid w:val="0099510A"/>
    <w:rsid w:val="009954E7"/>
    <w:rsid w:val="00995B61"/>
    <w:rsid w:val="00996521"/>
    <w:rsid w:val="00997893"/>
    <w:rsid w:val="009A0264"/>
    <w:rsid w:val="009A03F5"/>
    <w:rsid w:val="009A1DEE"/>
    <w:rsid w:val="009A2434"/>
    <w:rsid w:val="009A27BE"/>
    <w:rsid w:val="009A31A8"/>
    <w:rsid w:val="009A4F5D"/>
    <w:rsid w:val="009A5DD5"/>
    <w:rsid w:val="009A6796"/>
    <w:rsid w:val="009A6F2F"/>
    <w:rsid w:val="009A7C4E"/>
    <w:rsid w:val="009B0556"/>
    <w:rsid w:val="009B08E7"/>
    <w:rsid w:val="009B150C"/>
    <w:rsid w:val="009B2CCB"/>
    <w:rsid w:val="009B4D96"/>
    <w:rsid w:val="009B4E78"/>
    <w:rsid w:val="009B6DF1"/>
    <w:rsid w:val="009C0837"/>
    <w:rsid w:val="009C19B9"/>
    <w:rsid w:val="009C1DB5"/>
    <w:rsid w:val="009C1E93"/>
    <w:rsid w:val="009C2411"/>
    <w:rsid w:val="009C3AAA"/>
    <w:rsid w:val="009C4E4D"/>
    <w:rsid w:val="009C6768"/>
    <w:rsid w:val="009C6C07"/>
    <w:rsid w:val="009C7756"/>
    <w:rsid w:val="009D08C5"/>
    <w:rsid w:val="009D10A2"/>
    <w:rsid w:val="009D2016"/>
    <w:rsid w:val="009D28DE"/>
    <w:rsid w:val="009D29F1"/>
    <w:rsid w:val="009D43F7"/>
    <w:rsid w:val="009D5CFA"/>
    <w:rsid w:val="009D6CAF"/>
    <w:rsid w:val="009E0123"/>
    <w:rsid w:val="009E0254"/>
    <w:rsid w:val="009E1954"/>
    <w:rsid w:val="009E213F"/>
    <w:rsid w:val="009E38C3"/>
    <w:rsid w:val="009E3D29"/>
    <w:rsid w:val="009E409A"/>
    <w:rsid w:val="009E52E1"/>
    <w:rsid w:val="009E576E"/>
    <w:rsid w:val="009E75CD"/>
    <w:rsid w:val="009F0C71"/>
    <w:rsid w:val="009F1429"/>
    <w:rsid w:val="009F1784"/>
    <w:rsid w:val="009F1958"/>
    <w:rsid w:val="009F384F"/>
    <w:rsid w:val="009F3904"/>
    <w:rsid w:val="009F3945"/>
    <w:rsid w:val="009F5518"/>
    <w:rsid w:val="009F620B"/>
    <w:rsid w:val="00A00695"/>
    <w:rsid w:val="00A00BD1"/>
    <w:rsid w:val="00A01252"/>
    <w:rsid w:val="00A019F2"/>
    <w:rsid w:val="00A021DE"/>
    <w:rsid w:val="00A02EA7"/>
    <w:rsid w:val="00A030B7"/>
    <w:rsid w:val="00A0416D"/>
    <w:rsid w:val="00A045D8"/>
    <w:rsid w:val="00A05DF6"/>
    <w:rsid w:val="00A074B7"/>
    <w:rsid w:val="00A076DF"/>
    <w:rsid w:val="00A111CE"/>
    <w:rsid w:val="00A117C1"/>
    <w:rsid w:val="00A11DC4"/>
    <w:rsid w:val="00A12617"/>
    <w:rsid w:val="00A127E8"/>
    <w:rsid w:val="00A129F4"/>
    <w:rsid w:val="00A13EDD"/>
    <w:rsid w:val="00A15D4B"/>
    <w:rsid w:val="00A16140"/>
    <w:rsid w:val="00A16E13"/>
    <w:rsid w:val="00A17D2E"/>
    <w:rsid w:val="00A2044C"/>
    <w:rsid w:val="00A205B8"/>
    <w:rsid w:val="00A21643"/>
    <w:rsid w:val="00A21E22"/>
    <w:rsid w:val="00A223ED"/>
    <w:rsid w:val="00A22C85"/>
    <w:rsid w:val="00A22E8F"/>
    <w:rsid w:val="00A246D8"/>
    <w:rsid w:val="00A24A2F"/>
    <w:rsid w:val="00A24FB3"/>
    <w:rsid w:val="00A25162"/>
    <w:rsid w:val="00A2528C"/>
    <w:rsid w:val="00A2595D"/>
    <w:rsid w:val="00A25D0C"/>
    <w:rsid w:val="00A3034F"/>
    <w:rsid w:val="00A30D6F"/>
    <w:rsid w:val="00A31464"/>
    <w:rsid w:val="00A3198A"/>
    <w:rsid w:val="00A32306"/>
    <w:rsid w:val="00A3235C"/>
    <w:rsid w:val="00A3248F"/>
    <w:rsid w:val="00A3272B"/>
    <w:rsid w:val="00A3279D"/>
    <w:rsid w:val="00A33783"/>
    <w:rsid w:val="00A3448B"/>
    <w:rsid w:val="00A34B98"/>
    <w:rsid w:val="00A34D37"/>
    <w:rsid w:val="00A34DAB"/>
    <w:rsid w:val="00A35AE9"/>
    <w:rsid w:val="00A35CF9"/>
    <w:rsid w:val="00A36039"/>
    <w:rsid w:val="00A36CFD"/>
    <w:rsid w:val="00A4027E"/>
    <w:rsid w:val="00A40F3F"/>
    <w:rsid w:val="00A412BB"/>
    <w:rsid w:val="00A42ABE"/>
    <w:rsid w:val="00A44454"/>
    <w:rsid w:val="00A44991"/>
    <w:rsid w:val="00A45B36"/>
    <w:rsid w:val="00A47C0A"/>
    <w:rsid w:val="00A50D25"/>
    <w:rsid w:val="00A50ECD"/>
    <w:rsid w:val="00A529F7"/>
    <w:rsid w:val="00A54F5C"/>
    <w:rsid w:val="00A556C9"/>
    <w:rsid w:val="00A572E7"/>
    <w:rsid w:val="00A57C6A"/>
    <w:rsid w:val="00A60789"/>
    <w:rsid w:val="00A6231B"/>
    <w:rsid w:val="00A62EA8"/>
    <w:rsid w:val="00A634D2"/>
    <w:rsid w:val="00A637B3"/>
    <w:rsid w:val="00A63B70"/>
    <w:rsid w:val="00A63BB8"/>
    <w:rsid w:val="00A63C01"/>
    <w:rsid w:val="00A64569"/>
    <w:rsid w:val="00A6503A"/>
    <w:rsid w:val="00A651CB"/>
    <w:rsid w:val="00A67602"/>
    <w:rsid w:val="00A67A2B"/>
    <w:rsid w:val="00A7099D"/>
    <w:rsid w:val="00A7137B"/>
    <w:rsid w:val="00A729EE"/>
    <w:rsid w:val="00A74643"/>
    <w:rsid w:val="00A75737"/>
    <w:rsid w:val="00A75DF4"/>
    <w:rsid w:val="00A7772F"/>
    <w:rsid w:val="00A77770"/>
    <w:rsid w:val="00A77E5A"/>
    <w:rsid w:val="00A8171F"/>
    <w:rsid w:val="00A82484"/>
    <w:rsid w:val="00A82574"/>
    <w:rsid w:val="00A82A70"/>
    <w:rsid w:val="00A83066"/>
    <w:rsid w:val="00A83359"/>
    <w:rsid w:val="00A84278"/>
    <w:rsid w:val="00A86999"/>
    <w:rsid w:val="00A90041"/>
    <w:rsid w:val="00A902FC"/>
    <w:rsid w:val="00A90310"/>
    <w:rsid w:val="00A9266D"/>
    <w:rsid w:val="00A944F6"/>
    <w:rsid w:val="00A94C81"/>
    <w:rsid w:val="00A94CA5"/>
    <w:rsid w:val="00A95B96"/>
    <w:rsid w:val="00A95CDE"/>
    <w:rsid w:val="00A96A09"/>
    <w:rsid w:val="00A97DC4"/>
    <w:rsid w:val="00AA0C93"/>
    <w:rsid w:val="00AA0F54"/>
    <w:rsid w:val="00AA2CEB"/>
    <w:rsid w:val="00AA3682"/>
    <w:rsid w:val="00AA39D8"/>
    <w:rsid w:val="00AA3B7F"/>
    <w:rsid w:val="00AA4897"/>
    <w:rsid w:val="00AA5143"/>
    <w:rsid w:val="00AA6273"/>
    <w:rsid w:val="00AB105A"/>
    <w:rsid w:val="00AB11FB"/>
    <w:rsid w:val="00AB14F9"/>
    <w:rsid w:val="00AB2B9A"/>
    <w:rsid w:val="00AB3959"/>
    <w:rsid w:val="00AB3AFE"/>
    <w:rsid w:val="00AB3FF3"/>
    <w:rsid w:val="00AB464E"/>
    <w:rsid w:val="00AB516F"/>
    <w:rsid w:val="00AB54EA"/>
    <w:rsid w:val="00AB5736"/>
    <w:rsid w:val="00AB58CC"/>
    <w:rsid w:val="00AB697D"/>
    <w:rsid w:val="00AB6BCB"/>
    <w:rsid w:val="00AB6CA0"/>
    <w:rsid w:val="00AB73E5"/>
    <w:rsid w:val="00AB75AC"/>
    <w:rsid w:val="00AB7DD3"/>
    <w:rsid w:val="00AC0790"/>
    <w:rsid w:val="00AC0E25"/>
    <w:rsid w:val="00AC20FF"/>
    <w:rsid w:val="00AC3379"/>
    <w:rsid w:val="00AC3C12"/>
    <w:rsid w:val="00AC3D78"/>
    <w:rsid w:val="00AC4876"/>
    <w:rsid w:val="00AC5233"/>
    <w:rsid w:val="00AC54D4"/>
    <w:rsid w:val="00AC6803"/>
    <w:rsid w:val="00AC7454"/>
    <w:rsid w:val="00AD0362"/>
    <w:rsid w:val="00AD0637"/>
    <w:rsid w:val="00AD0735"/>
    <w:rsid w:val="00AD11A1"/>
    <w:rsid w:val="00AD1624"/>
    <w:rsid w:val="00AD182D"/>
    <w:rsid w:val="00AD1977"/>
    <w:rsid w:val="00AD29E0"/>
    <w:rsid w:val="00AD374D"/>
    <w:rsid w:val="00AD3811"/>
    <w:rsid w:val="00AD3A3A"/>
    <w:rsid w:val="00AD3DDB"/>
    <w:rsid w:val="00AD42C5"/>
    <w:rsid w:val="00AD44A7"/>
    <w:rsid w:val="00AD50F1"/>
    <w:rsid w:val="00AD6024"/>
    <w:rsid w:val="00AD64B6"/>
    <w:rsid w:val="00AD7D1D"/>
    <w:rsid w:val="00AE073A"/>
    <w:rsid w:val="00AE0B51"/>
    <w:rsid w:val="00AE0D43"/>
    <w:rsid w:val="00AE1576"/>
    <w:rsid w:val="00AE157A"/>
    <w:rsid w:val="00AE211D"/>
    <w:rsid w:val="00AE2227"/>
    <w:rsid w:val="00AE4707"/>
    <w:rsid w:val="00AE4801"/>
    <w:rsid w:val="00AE58C8"/>
    <w:rsid w:val="00AE5E93"/>
    <w:rsid w:val="00AE67C7"/>
    <w:rsid w:val="00AE7835"/>
    <w:rsid w:val="00AE7ECB"/>
    <w:rsid w:val="00AF062A"/>
    <w:rsid w:val="00AF0E32"/>
    <w:rsid w:val="00AF1338"/>
    <w:rsid w:val="00AF1544"/>
    <w:rsid w:val="00AF1671"/>
    <w:rsid w:val="00AF3F76"/>
    <w:rsid w:val="00AF55E1"/>
    <w:rsid w:val="00AF6119"/>
    <w:rsid w:val="00AF6879"/>
    <w:rsid w:val="00AF6D6C"/>
    <w:rsid w:val="00B0024B"/>
    <w:rsid w:val="00B029D8"/>
    <w:rsid w:val="00B03182"/>
    <w:rsid w:val="00B0372D"/>
    <w:rsid w:val="00B03FF2"/>
    <w:rsid w:val="00B04622"/>
    <w:rsid w:val="00B04EA3"/>
    <w:rsid w:val="00B051E6"/>
    <w:rsid w:val="00B056F4"/>
    <w:rsid w:val="00B05B21"/>
    <w:rsid w:val="00B063ED"/>
    <w:rsid w:val="00B0732A"/>
    <w:rsid w:val="00B07478"/>
    <w:rsid w:val="00B07C09"/>
    <w:rsid w:val="00B10595"/>
    <w:rsid w:val="00B105D9"/>
    <w:rsid w:val="00B10DC8"/>
    <w:rsid w:val="00B10E58"/>
    <w:rsid w:val="00B119E4"/>
    <w:rsid w:val="00B12345"/>
    <w:rsid w:val="00B1352C"/>
    <w:rsid w:val="00B139A7"/>
    <w:rsid w:val="00B13DE2"/>
    <w:rsid w:val="00B14185"/>
    <w:rsid w:val="00B1538A"/>
    <w:rsid w:val="00B15901"/>
    <w:rsid w:val="00B15D9D"/>
    <w:rsid w:val="00B16F29"/>
    <w:rsid w:val="00B16F79"/>
    <w:rsid w:val="00B173A1"/>
    <w:rsid w:val="00B17B82"/>
    <w:rsid w:val="00B205A1"/>
    <w:rsid w:val="00B205CB"/>
    <w:rsid w:val="00B20878"/>
    <w:rsid w:val="00B20A73"/>
    <w:rsid w:val="00B22FAC"/>
    <w:rsid w:val="00B23D77"/>
    <w:rsid w:val="00B24652"/>
    <w:rsid w:val="00B24D2B"/>
    <w:rsid w:val="00B25230"/>
    <w:rsid w:val="00B25A57"/>
    <w:rsid w:val="00B27BD3"/>
    <w:rsid w:val="00B31233"/>
    <w:rsid w:val="00B33854"/>
    <w:rsid w:val="00B33F5E"/>
    <w:rsid w:val="00B34D6A"/>
    <w:rsid w:val="00B3562C"/>
    <w:rsid w:val="00B3762F"/>
    <w:rsid w:val="00B37F7A"/>
    <w:rsid w:val="00B37FB4"/>
    <w:rsid w:val="00B41F02"/>
    <w:rsid w:val="00B43F0E"/>
    <w:rsid w:val="00B44C91"/>
    <w:rsid w:val="00B45678"/>
    <w:rsid w:val="00B45CE1"/>
    <w:rsid w:val="00B45EEA"/>
    <w:rsid w:val="00B46A3D"/>
    <w:rsid w:val="00B47B66"/>
    <w:rsid w:val="00B511C7"/>
    <w:rsid w:val="00B51513"/>
    <w:rsid w:val="00B52826"/>
    <w:rsid w:val="00B52F85"/>
    <w:rsid w:val="00B53766"/>
    <w:rsid w:val="00B53A70"/>
    <w:rsid w:val="00B544B4"/>
    <w:rsid w:val="00B54A26"/>
    <w:rsid w:val="00B54CD2"/>
    <w:rsid w:val="00B55A4E"/>
    <w:rsid w:val="00B57607"/>
    <w:rsid w:val="00B57DFE"/>
    <w:rsid w:val="00B61C9B"/>
    <w:rsid w:val="00B61EFE"/>
    <w:rsid w:val="00B626BE"/>
    <w:rsid w:val="00B64C33"/>
    <w:rsid w:val="00B6593C"/>
    <w:rsid w:val="00B65DAC"/>
    <w:rsid w:val="00B661BC"/>
    <w:rsid w:val="00B66820"/>
    <w:rsid w:val="00B674A2"/>
    <w:rsid w:val="00B67E8A"/>
    <w:rsid w:val="00B705AC"/>
    <w:rsid w:val="00B70C07"/>
    <w:rsid w:val="00B712DF"/>
    <w:rsid w:val="00B73BFF"/>
    <w:rsid w:val="00B73D01"/>
    <w:rsid w:val="00B74921"/>
    <w:rsid w:val="00B74C6B"/>
    <w:rsid w:val="00B757D3"/>
    <w:rsid w:val="00B75A14"/>
    <w:rsid w:val="00B75B9F"/>
    <w:rsid w:val="00B76B9D"/>
    <w:rsid w:val="00B776EE"/>
    <w:rsid w:val="00B77E15"/>
    <w:rsid w:val="00B80026"/>
    <w:rsid w:val="00B809D8"/>
    <w:rsid w:val="00B80E85"/>
    <w:rsid w:val="00B824E2"/>
    <w:rsid w:val="00B84EFD"/>
    <w:rsid w:val="00B864AC"/>
    <w:rsid w:val="00B8751B"/>
    <w:rsid w:val="00B87A4C"/>
    <w:rsid w:val="00B87CB9"/>
    <w:rsid w:val="00B90021"/>
    <w:rsid w:val="00B9123E"/>
    <w:rsid w:val="00B91565"/>
    <w:rsid w:val="00B91A7D"/>
    <w:rsid w:val="00B920B4"/>
    <w:rsid w:val="00B9255E"/>
    <w:rsid w:val="00B939B4"/>
    <w:rsid w:val="00B93EB8"/>
    <w:rsid w:val="00B94DFE"/>
    <w:rsid w:val="00B954E2"/>
    <w:rsid w:val="00B95A25"/>
    <w:rsid w:val="00B96086"/>
    <w:rsid w:val="00B97F56"/>
    <w:rsid w:val="00BA05C8"/>
    <w:rsid w:val="00BA09D8"/>
    <w:rsid w:val="00BA1319"/>
    <w:rsid w:val="00BA13E6"/>
    <w:rsid w:val="00BA3420"/>
    <w:rsid w:val="00BA38C3"/>
    <w:rsid w:val="00BA3BE8"/>
    <w:rsid w:val="00BA645C"/>
    <w:rsid w:val="00BA7CAB"/>
    <w:rsid w:val="00BB0128"/>
    <w:rsid w:val="00BB166D"/>
    <w:rsid w:val="00BB16C6"/>
    <w:rsid w:val="00BB19A7"/>
    <w:rsid w:val="00BB22B2"/>
    <w:rsid w:val="00BB41B4"/>
    <w:rsid w:val="00BB4BEA"/>
    <w:rsid w:val="00BB4C6D"/>
    <w:rsid w:val="00BB4FC7"/>
    <w:rsid w:val="00BB5874"/>
    <w:rsid w:val="00BB5D76"/>
    <w:rsid w:val="00BB5E53"/>
    <w:rsid w:val="00BB7BBD"/>
    <w:rsid w:val="00BC15B0"/>
    <w:rsid w:val="00BC1814"/>
    <w:rsid w:val="00BC34C3"/>
    <w:rsid w:val="00BC37DB"/>
    <w:rsid w:val="00BC3B6C"/>
    <w:rsid w:val="00BC401C"/>
    <w:rsid w:val="00BC7544"/>
    <w:rsid w:val="00BC7979"/>
    <w:rsid w:val="00BD0388"/>
    <w:rsid w:val="00BD0FFB"/>
    <w:rsid w:val="00BD23BB"/>
    <w:rsid w:val="00BD4205"/>
    <w:rsid w:val="00BD6D8F"/>
    <w:rsid w:val="00BD795B"/>
    <w:rsid w:val="00BE036C"/>
    <w:rsid w:val="00BE0A40"/>
    <w:rsid w:val="00BE10D5"/>
    <w:rsid w:val="00BE1289"/>
    <w:rsid w:val="00BE34A3"/>
    <w:rsid w:val="00BE5E5A"/>
    <w:rsid w:val="00BE5ECC"/>
    <w:rsid w:val="00BE5F96"/>
    <w:rsid w:val="00BE7B66"/>
    <w:rsid w:val="00BF0FD6"/>
    <w:rsid w:val="00BF121B"/>
    <w:rsid w:val="00BF179F"/>
    <w:rsid w:val="00BF1C78"/>
    <w:rsid w:val="00BF229B"/>
    <w:rsid w:val="00BF2AE5"/>
    <w:rsid w:val="00BF3130"/>
    <w:rsid w:val="00BF3917"/>
    <w:rsid w:val="00BF482C"/>
    <w:rsid w:val="00BF5C58"/>
    <w:rsid w:val="00BF6448"/>
    <w:rsid w:val="00BF6A6F"/>
    <w:rsid w:val="00BF6E50"/>
    <w:rsid w:val="00BF74EA"/>
    <w:rsid w:val="00BF7B9E"/>
    <w:rsid w:val="00BF7CE3"/>
    <w:rsid w:val="00C00D27"/>
    <w:rsid w:val="00C02438"/>
    <w:rsid w:val="00C02756"/>
    <w:rsid w:val="00C0287A"/>
    <w:rsid w:val="00C02C08"/>
    <w:rsid w:val="00C03996"/>
    <w:rsid w:val="00C03F08"/>
    <w:rsid w:val="00C04237"/>
    <w:rsid w:val="00C05BD1"/>
    <w:rsid w:val="00C0643A"/>
    <w:rsid w:val="00C065E4"/>
    <w:rsid w:val="00C06E49"/>
    <w:rsid w:val="00C06EBE"/>
    <w:rsid w:val="00C07EC7"/>
    <w:rsid w:val="00C129AC"/>
    <w:rsid w:val="00C13337"/>
    <w:rsid w:val="00C133D1"/>
    <w:rsid w:val="00C1356B"/>
    <w:rsid w:val="00C156EF"/>
    <w:rsid w:val="00C17ACD"/>
    <w:rsid w:val="00C200CE"/>
    <w:rsid w:val="00C205C5"/>
    <w:rsid w:val="00C20645"/>
    <w:rsid w:val="00C20DF6"/>
    <w:rsid w:val="00C20F71"/>
    <w:rsid w:val="00C231F7"/>
    <w:rsid w:val="00C234E0"/>
    <w:rsid w:val="00C243F9"/>
    <w:rsid w:val="00C24E25"/>
    <w:rsid w:val="00C25548"/>
    <w:rsid w:val="00C259A0"/>
    <w:rsid w:val="00C26974"/>
    <w:rsid w:val="00C27330"/>
    <w:rsid w:val="00C2786C"/>
    <w:rsid w:val="00C302AD"/>
    <w:rsid w:val="00C30939"/>
    <w:rsid w:val="00C309D9"/>
    <w:rsid w:val="00C30A6E"/>
    <w:rsid w:val="00C30CB2"/>
    <w:rsid w:val="00C316A6"/>
    <w:rsid w:val="00C32852"/>
    <w:rsid w:val="00C335CB"/>
    <w:rsid w:val="00C33B1C"/>
    <w:rsid w:val="00C34536"/>
    <w:rsid w:val="00C35E5F"/>
    <w:rsid w:val="00C37A56"/>
    <w:rsid w:val="00C40CAC"/>
    <w:rsid w:val="00C41B38"/>
    <w:rsid w:val="00C41CC2"/>
    <w:rsid w:val="00C42477"/>
    <w:rsid w:val="00C43493"/>
    <w:rsid w:val="00C434B9"/>
    <w:rsid w:val="00C436B6"/>
    <w:rsid w:val="00C45022"/>
    <w:rsid w:val="00C47BB5"/>
    <w:rsid w:val="00C47FA9"/>
    <w:rsid w:val="00C5053B"/>
    <w:rsid w:val="00C50962"/>
    <w:rsid w:val="00C51264"/>
    <w:rsid w:val="00C51902"/>
    <w:rsid w:val="00C51C4A"/>
    <w:rsid w:val="00C5215B"/>
    <w:rsid w:val="00C521E0"/>
    <w:rsid w:val="00C52715"/>
    <w:rsid w:val="00C52AE3"/>
    <w:rsid w:val="00C53813"/>
    <w:rsid w:val="00C53D3E"/>
    <w:rsid w:val="00C545D6"/>
    <w:rsid w:val="00C54A47"/>
    <w:rsid w:val="00C54C0D"/>
    <w:rsid w:val="00C565D8"/>
    <w:rsid w:val="00C5699B"/>
    <w:rsid w:val="00C57AD7"/>
    <w:rsid w:val="00C60145"/>
    <w:rsid w:val="00C60AFF"/>
    <w:rsid w:val="00C6338A"/>
    <w:rsid w:val="00C6498F"/>
    <w:rsid w:val="00C6605F"/>
    <w:rsid w:val="00C66269"/>
    <w:rsid w:val="00C705F3"/>
    <w:rsid w:val="00C70FC6"/>
    <w:rsid w:val="00C71B48"/>
    <w:rsid w:val="00C72607"/>
    <w:rsid w:val="00C72B2D"/>
    <w:rsid w:val="00C72B65"/>
    <w:rsid w:val="00C72BD0"/>
    <w:rsid w:val="00C745AF"/>
    <w:rsid w:val="00C75978"/>
    <w:rsid w:val="00C76802"/>
    <w:rsid w:val="00C76B81"/>
    <w:rsid w:val="00C77312"/>
    <w:rsid w:val="00C81845"/>
    <w:rsid w:val="00C82024"/>
    <w:rsid w:val="00C822AA"/>
    <w:rsid w:val="00C82DBD"/>
    <w:rsid w:val="00C85347"/>
    <w:rsid w:val="00C8624D"/>
    <w:rsid w:val="00C862B9"/>
    <w:rsid w:val="00C86979"/>
    <w:rsid w:val="00C86AB7"/>
    <w:rsid w:val="00C86B5A"/>
    <w:rsid w:val="00C86FBD"/>
    <w:rsid w:val="00C87421"/>
    <w:rsid w:val="00C8785C"/>
    <w:rsid w:val="00C900C2"/>
    <w:rsid w:val="00C90203"/>
    <w:rsid w:val="00C90331"/>
    <w:rsid w:val="00C90D4A"/>
    <w:rsid w:val="00C9177E"/>
    <w:rsid w:val="00C91D32"/>
    <w:rsid w:val="00C92569"/>
    <w:rsid w:val="00C92F4C"/>
    <w:rsid w:val="00C942E4"/>
    <w:rsid w:val="00C963D2"/>
    <w:rsid w:val="00C96EBF"/>
    <w:rsid w:val="00C976B2"/>
    <w:rsid w:val="00C97F62"/>
    <w:rsid w:val="00CA0AB5"/>
    <w:rsid w:val="00CA0B11"/>
    <w:rsid w:val="00CA21FB"/>
    <w:rsid w:val="00CA23A2"/>
    <w:rsid w:val="00CA24CA"/>
    <w:rsid w:val="00CA25D1"/>
    <w:rsid w:val="00CA285D"/>
    <w:rsid w:val="00CA33F7"/>
    <w:rsid w:val="00CA5D0D"/>
    <w:rsid w:val="00CA5E8F"/>
    <w:rsid w:val="00CA6BDA"/>
    <w:rsid w:val="00CB3410"/>
    <w:rsid w:val="00CB4338"/>
    <w:rsid w:val="00CB444A"/>
    <w:rsid w:val="00CB49D3"/>
    <w:rsid w:val="00CB6714"/>
    <w:rsid w:val="00CB68FB"/>
    <w:rsid w:val="00CB715C"/>
    <w:rsid w:val="00CB7657"/>
    <w:rsid w:val="00CC10B4"/>
    <w:rsid w:val="00CC134A"/>
    <w:rsid w:val="00CC2F95"/>
    <w:rsid w:val="00CC36C2"/>
    <w:rsid w:val="00CC7945"/>
    <w:rsid w:val="00CD0F2F"/>
    <w:rsid w:val="00CD13E6"/>
    <w:rsid w:val="00CD159E"/>
    <w:rsid w:val="00CD386C"/>
    <w:rsid w:val="00CD40C1"/>
    <w:rsid w:val="00CD4787"/>
    <w:rsid w:val="00CD4B19"/>
    <w:rsid w:val="00CD582E"/>
    <w:rsid w:val="00CD7DEF"/>
    <w:rsid w:val="00CD7FD0"/>
    <w:rsid w:val="00CE1F3A"/>
    <w:rsid w:val="00CE2236"/>
    <w:rsid w:val="00CE2841"/>
    <w:rsid w:val="00CE2864"/>
    <w:rsid w:val="00CE3662"/>
    <w:rsid w:val="00CE43BF"/>
    <w:rsid w:val="00CE6013"/>
    <w:rsid w:val="00CE7987"/>
    <w:rsid w:val="00CE7A5B"/>
    <w:rsid w:val="00CE7F03"/>
    <w:rsid w:val="00CF06AD"/>
    <w:rsid w:val="00CF2B31"/>
    <w:rsid w:val="00CF3B7F"/>
    <w:rsid w:val="00CF3F62"/>
    <w:rsid w:val="00CF461E"/>
    <w:rsid w:val="00CF5186"/>
    <w:rsid w:val="00CF51FD"/>
    <w:rsid w:val="00CF65E0"/>
    <w:rsid w:val="00CF6A3A"/>
    <w:rsid w:val="00CF7476"/>
    <w:rsid w:val="00CF7551"/>
    <w:rsid w:val="00CF7FE2"/>
    <w:rsid w:val="00D000C5"/>
    <w:rsid w:val="00D00A77"/>
    <w:rsid w:val="00D016DD"/>
    <w:rsid w:val="00D022B9"/>
    <w:rsid w:val="00D03B07"/>
    <w:rsid w:val="00D05394"/>
    <w:rsid w:val="00D06419"/>
    <w:rsid w:val="00D0736B"/>
    <w:rsid w:val="00D0746E"/>
    <w:rsid w:val="00D07D6A"/>
    <w:rsid w:val="00D10FB4"/>
    <w:rsid w:val="00D11F7F"/>
    <w:rsid w:val="00D13438"/>
    <w:rsid w:val="00D137E7"/>
    <w:rsid w:val="00D139B7"/>
    <w:rsid w:val="00D140A5"/>
    <w:rsid w:val="00D14236"/>
    <w:rsid w:val="00D14947"/>
    <w:rsid w:val="00D14D29"/>
    <w:rsid w:val="00D155AA"/>
    <w:rsid w:val="00D156ED"/>
    <w:rsid w:val="00D165E3"/>
    <w:rsid w:val="00D16F97"/>
    <w:rsid w:val="00D1718D"/>
    <w:rsid w:val="00D1763C"/>
    <w:rsid w:val="00D20571"/>
    <w:rsid w:val="00D20CA2"/>
    <w:rsid w:val="00D20CE8"/>
    <w:rsid w:val="00D211D6"/>
    <w:rsid w:val="00D22FE6"/>
    <w:rsid w:val="00D23254"/>
    <w:rsid w:val="00D25374"/>
    <w:rsid w:val="00D2580B"/>
    <w:rsid w:val="00D25AA6"/>
    <w:rsid w:val="00D26AF9"/>
    <w:rsid w:val="00D2785A"/>
    <w:rsid w:val="00D31295"/>
    <w:rsid w:val="00D33529"/>
    <w:rsid w:val="00D335CC"/>
    <w:rsid w:val="00D343A5"/>
    <w:rsid w:val="00D344A3"/>
    <w:rsid w:val="00D3485D"/>
    <w:rsid w:val="00D356EC"/>
    <w:rsid w:val="00D35FDD"/>
    <w:rsid w:val="00D3751B"/>
    <w:rsid w:val="00D3759E"/>
    <w:rsid w:val="00D376F5"/>
    <w:rsid w:val="00D37A90"/>
    <w:rsid w:val="00D405C0"/>
    <w:rsid w:val="00D4062B"/>
    <w:rsid w:val="00D40793"/>
    <w:rsid w:val="00D40FA3"/>
    <w:rsid w:val="00D436AE"/>
    <w:rsid w:val="00D43ECE"/>
    <w:rsid w:val="00D441F1"/>
    <w:rsid w:val="00D4448E"/>
    <w:rsid w:val="00D44AEC"/>
    <w:rsid w:val="00D454C3"/>
    <w:rsid w:val="00D4552A"/>
    <w:rsid w:val="00D45792"/>
    <w:rsid w:val="00D46F70"/>
    <w:rsid w:val="00D471B2"/>
    <w:rsid w:val="00D51A27"/>
    <w:rsid w:val="00D60339"/>
    <w:rsid w:val="00D60B03"/>
    <w:rsid w:val="00D612D7"/>
    <w:rsid w:val="00D61ABF"/>
    <w:rsid w:val="00D630CE"/>
    <w:rsid w:val="00D63934"/>
    <w:rsid w:val="00D63AE3"/>
    <w:rsid w:val="00D641E1"/>
    <w:rsid w:val="00D643D5"/>
    <w:rsid w:val="00D64649"/>
    <w:rsid w:val="00D65B32"/>
    <w:rsid w:val="00D67C17"/>
    <w:rsid w:val="00D70132"/>
    <w:rsid w:val="00D709E7"/>
    <w:rsid w:val="00D72A8A"/>
    <w:rsid w:val="00D72B44"/>
    <w:rsid w:val="00D73597"/>
    <w:rsid w:val="00D73A90"/>
    <w:rsid w:val="00D741EE"/>
    <w:rsid w:val="00D75511"/>
    <w:rsid w:val="00D76099"/>
    <w:rsid w:val="00D77926"/>
    <w:rsid w:val="00D77CAE"/>
    <w:rsid w:val="00D80455"/>
    <w:rsid w:val="00D82058"/>
    <w:rsid w:val="00D82BB1"/>
    <w:rsid w:val="00D8327E"/>
    <w:rsid w:val="00D834E4"/>
    <w:rsid w:val="00D83827"/>
    <w:rsid w:val="00D83B88"/>
    <w:rsid w:val="00D83BCD"/>
    <w:rsid w:val="00D84614"/>
    <w:rsid w:val="00D85406"/>
    <w:rsid w:val="00D86AA3"/>
    <w:rsid w:val="00D878B5"/>
    <w:rsid w:val="00D90F8A"/>
    <w:rsid w:val="00D9134E"/>
    <w:rsid w:val="00D91609"/>
    <w:rsid w:val="00D918E7"/>
    <w:rsid w:val="00D920FA"/>
    <w:rsid w:val="00D9252D"/>
    <w:rsid w:val="00D92B87"/>
    <w:rsid w:val="00D94689"/>
    <w:rsid w:val="00D947EE"/>
    <w:rsid w:val="00D95AB1"/>
    <w:rsid w:val="00D96425"/>
    <w:rsid w:val="00D973B4"/>
    <w:rsid w:val="00DA0454"/>
    <w:rsid w:val="00DA0AAD"/>
    <w:rsid w:val="00DA11D8"/>
    <w:rsid w:val="00DA13FA"/>
    <w:rsid w:val="00DA1595"/>
    <w:rsid w:val="00DA1E49"/>
    <w:rsid w:val="00DA2160"/>
    <w:rsid w:val="00DA3B83"/>
    <w:rsid w:val="00DA3D09"/>
    <w:rsid w:val="00DA423E"/>
    <w:rsid w:val="00DA43BC"/>
    <w:rsid w:val="00DA4DE5"/>
    <w:rsid w:val="00DA5466"/>
    <w:rsid w:val="00DA582A"/>
    <w:rsid w:val="00DA586F"/>
    <w:rsid w:val="00DA5E21"/>
    <w:rsid w:val="00DA5F30"/>
    <w:rsid w:val="00DA6033"/>
    <w:rsid w:val="00DA680C"/>
    <w:rsid w:val="00DA6CB8"/>
    <w:rsid w:val="00DA7870"/>
    <w:rsid w:val="00DA7873"/>
    <w:rsid w:val="00DB0865"/>
    <w:rsid w:val="00DB0CCF"/>
    <w:rsid w:val="00DB334B"/>
    <w:rsid w:val="00DB33C6"/>
    <w:rsid w:val="00DB3AD8"/>
    <w:rsid w:val="00DB523C"/>
    <w:rsid w:val="00DB6060"/>
    <w:rsid w:val="00DB61BF"/>
    <w:rsid w:val="00DB6B93"/>
    <w:rsid w:val="00DB6C8F"/>
    <w:rsid w:val="00DC0187"/>
    <w:rsid w:val="00DC0469"/>
    <w:rsid w:val="00DC18D2"/>
    <w:rsid w:val="00DC1C4D"/>
    <w:rsid w:val="00DC2AAD"/>
    <w:rsid w:val="00DC43AA"/>
    <w:rsid w:val="00DC4431"/>
    <w:rsid w:val="00DC488B"/>
    <w:rsid w:val="00DC4C93"/>
    <w:rsid w:val="00DC54CF"/>
    <w:rsid w:val="00DC6E1B"/>
    <w:rsid w:val="00DC7C74"/>
    <w:rsid w:val="00DC7E32"/>
    <w:rsid w:val="00DD02CF"/>
    <w:rsid w:val="00DD348C"/>
    <w:rsid w:val="00DD3629"/>
    <w:rsid w:val="00DD3DF7"/>
    <w:rsid w:val="00DD4923"/>
    <w:rsid w:val="00DD5035"/>
    <w:rsid w:val="00DD519C"/>
    <w:rsid w:val="00DD6424"/>
    <w:rsid w:val="00DD6B99"/>
    <w:rsid w:val="00DD72C2"/>
    <w:rsid w:val="00DE0940"/>
    <w:rsid w:val="00DE0D69"/>
    <w:rsid w:val="00DE2264"/>
    <w:rsid w:val="00DE23A9"/>
    <w:rsid w:val="00DE26FA"/>
    <w:rsid w:val="00DE321F"/>
    <w:rsid w:val="00DE324E"/>
    <w:rsid w:val="00DE3BF8"/>
    <w:rsid w:val="00DE4589"/>
    <w:rsid w:val="00DE46F3"/>
    <w:rsid w:val="00DE472A"/>
    <w:rsid w:val="00DE4C6C"/>
    <w:rsid w:val="00DE4DBB"/>
    <w:rsid w:val="00DE615C"/>
    <w:rsid w:val="00DE67D8"/>
    <w:rsid w:val="00DE6E90"/>
    <w:rsid w:val="00DE703A"/>
    <w:rsid w:val="00DE7391"/>
    <w:rsid w:val="00DF0A67"/>
    <w:rsid w:val="00DF34B2"/>
    <w:rsid w:val="00DF4823"/>
    <w:rsid w:val="00DF5829"/>
    <w:rsid w:val="00E00EEB"/>
    <w:rsid w:val="00E014EA"/>
    <w:rsid w:val="00E01CAE"/>
    <w:rsid w:val="00E023C4"/>
    <w:rsid w:val="00E047FC"/>
    <w:rsid w:val="00E04B45"/>
    <w:rsid w:val="00E05509"/>
    <w:rsid w:val="00E057AB"/>
    <w:rsid w:val="00E101BF"/>
    <w:rsid w:val="00E104DB"/>
    <w:rsid w:val="00E10F95"/>
    <w:rsid w:val="00E110BA"/>
    <w:rsid w:val="00E121EB"/>
    <w:rsid w:val="00E13086"/>
    <w:rsid w:val="00E132A2"/>
    <w:rsid w:val="00E139AD"/>
    <w:rsid w:val="00E13A2F"/>
    <w:rsid w:val="00E13C03"/>
    <w:rsid w:val="00E14B04"/>
    <w:rsid w:val="00E14CBC"/>
    <w:rsid w:val="00E15D89"/>
    <w:rsid w:val="00E15FC2"/>
    <w:rsid w:val="00E1734A"/>
    <w:rsid w:val="00E1767F"/>
    <w:rsid w:val="00E17984"/>
    <w:rsid w:val="00E17D88"/>
    <w:rsid w:val="00E17E2B"/>
    <w:rsid w:val="00E22EB9"/>
    <w:rsid w:val="00E26611"/>
    <w:rsid w:val="00E266E4"/>
    <w:rsid w:val="00E26850"/>
    <w:rsid w:val="00E30131"/>
    <w:rsid w:val="00E302B4"/>
    <w:rsid w:val="00E30E01"/>
    <w:rsid w:val="00E312A7"/>
    <w:rsid w:val="00E31A2E"/>
    <w:rsid w:val="00E32227"/>
    <w:rsid w:val="00E32478"/>
    <w:rsid w:val="00E329CF"/>
    <w:rsid w:val="00E34C44"/>
    <w:rsid w:val="00E350DE"/>
    <w:rsid w:val="00E36267"/>
    <w:rsid w:val="00E3688D"/>
    <w:rsid w:val="00E36936"/>
    <w:rsid w:val="00E379E7"/>
    <w:rsid w:val="00E37AB1"/>
    <w:rsid w:val="00E37F57"/>
    <w:rsid w:val="00E40F41"/>
    <w:rsid w:val="00E41280"/>
    <w:rsid w:val="00E415DB"/>
    <w:rsid w:val="00E42A36"/>
    <w:rsid w:val="00E4410E"/>
    <w:rsid w:val="00E4581F"/>
    <w:rsid w:val="00E4584B"/>
    <w:rsid w:val="00E45EFC"/>
    <w:rsid w:val="00E50D3D"/>
    <w:rsid w:val="00E539D3"/>
    <w:rsid w:val="00E53F28"/>
    <w:rsid w:val="00E54FA9"/>
    <w:rsid w:val="00E55D6C"/>
    <w:rsid w:val="00E56FB2"/>
    <w:rsid w:val="00E5767D"/>
    <w:rsid w:val="00E57CC4"/>
    <w:rsid w:val="00E57D73"/>
    <w:rsid w:val="00E6080E"/>
    <w:rsid w:val="00E61385"/>
    <w:rsid w:val="00E64631"/>
    <w:rsid w:val="00E6480A"/>
    <w:rsid w:val="00E660F6"/>
    <w:rsid w:val="00E6675D"/>
    <w:rsid w:val="00E67465"/>
    <w:rsid w:val="00E725F6"/>
    <w:rsid w:val="00E72901"/>
    <w:rsid w:val="00E73B4D"/>
    <w:rsid w:val="00E74A17"/>
    <w:rsid w:val="00E755A4"/>
    <w:rsid w:val="00E75C06"/>
    <w:rsid w:val="00E761EE"/>
    <w:rsid w:val="00E76EC0"/>
    <w:rsid w:val="00E812C0"/>
    <w:rsid w:val="00E81539"/>
    <w:rsid w:val="00E817EF"/>
    <w:rsid w:val="00E81DE4"/>
    <w:rsid w:val="00E8228F"/>
    <w:rsid w:val="00E8301B"/>
    <w:rsid w:val="00E852EA"/>
    <w:rsid w:val="00E858E3"/>
    <w:rsid w:val="00E860FC"/>
    <w:rsid w:val="00E8795F"/>
    <w:rsid w:val="00E90D1A"/>
    <w:rsid w:val="00E917E5"/>
    <w:rsid w:val="00E92629"/>
    <w:rsid w:val="00E92DA3"/>
    <w:rsid w:val="00E93A40"/>
    <w:rsid w:val="00E95C51"/>
    <w:rsid w:val="00E95DBA"/>
    <w:rsid w:val="00E961F7"/>
    <w:rsid w:val="00E97163"/>
    <w:rsid w:val="00EA028B"/>
    <w:rsid w:val="00EA034F"/>
    <w:rsid w:val="00EA176B"/>
    <w:rsid w:val="00EA323B"/>
    <w:rsid w:val="00EA34F6"/>
    <w:rsid w:val="00EA3679"/>
    <w:rsid w:val="00EA4AAA"/>
    <w:rsid w:val="00EA5878"/>
    <w:rsid w:val="00EA6574"/>
    <w:rsid w:val="00EA6667"/>
    <w:rsid w:val="00EA71D1"/>
    <w:rsid w:val="00EA7C62"/>
    <w:rsid w:val="00EB1562"/>
    <w:rsid w:val="00EB24AB"/>
    <w:rsid w:val="00EB38FC"/>
    <w:rsid w:val="00EB4286"/>
    <w:rsid w:val="00EB52DD"/>
    <w:rsid w:val="00EB6016"/>
    <w:rsid w:val="00EB6EFE"/>
    <w:rsid w:val="00EB79EE"/>
    <w:rsid w:val="00EB7D18"/>
    <w:rsid w:val="00EB7F9A"/>
    <w:rsid w:val="00EC007F"/>
    <w:rsid w:val="00EC155F"/>
    <w:rsid w:val="00EC1D1A"/>
    <w:rsid w:val="00EC210C"/>
    <w:rsid w:val="00EC2310"/>
    <w:rsid w:val="00EC2BED"/>
    <w:rsid w:val="00EC4D34"/>
    <w:rsid w:val="00EC51A8"/>
    <w:rsid w:val="00EC528A"/>
    <w:rsid w:val="00EC5CF0"/>
    <w:rsid w:val="00EC5F61"/>
    <w:rsid w:val="00EC6106"/>
    <w:rsid w:val="00EC6A72"/>
    <w:rsid w:val="00EC6C1A"/>
    <w:rsid w:val="00EC6DA4"/>
    <w:rsid w:val="00EC6E55"/>
    <w:rsid w:val="00EC7A0C"/>
    <w:rsid w:val="00EC7EF3"/>
    <w:rsid w:val="00ED04E7"/>
    <w:rsid w:val="00ED067D"/>
    <w:rsid w:val="00ED0C4B"/>
    <w:rsid w:val="00ED1942"/>
    <w:rsid w:val="00ED2469"/>
    <w:rsid w:val="00ED3708"/>
    <w:rsid w:val="00ED3EA9"/>
    <w:rsid w:val="00ED3F2D"/>
    <w:rsid w:val="00ED4051"/>
    <w:rsid w:val="00ED4323"/>
    <w:rsid w:val="00ED4624"/>
    <w:rsid w:val="00ED5BD8"/>
    <w:rsid w:val="00ED6090"/>
    <w:rsid w:val="00ED6E20"/>
    <w:rsid w:val="00ED7C75"/>
    <w:rsid w:val="00EE076B"/>
    <w:rsid w:val="00EE0CBF"/>
    <w:rsid w:val="00EE0CD9"/>
    <w:rsid w:val="00EE1452"/>
    <w:rsid w:val="00EE2729"/>
    <w:rsid w:val="00EE2A49"/>
    <w:rsid w:val="00EE2EEF"/>
    <w:rsid w:val="00EE3C5D"/>
    <w:rsid w:val="00EE473C"/>
    <w:rsid w:val="00EE482D"/>
    <w:rsid w:val="00EE49B5"/>
    <w:rsid w:val="00EE4DD1"/>
    <w:rsid w:val="00EE4E68"/>
    <w:rsid w:val="00EE5511"/>
    <w:rsid w:val="00EE5523"/>
    <w:rsid w:val="00EE5D38"/>
    <w:rsid w:val="00EE669B"/>
    <w:rsid w:val="00EE6898"/>
    <w:rsid w:val="00EE6EBF"/>
    <w:rsid w:val="00EE7A79"/>
    <w:rsid w:val="00EF03E2"/>
    <w:rsid w:val="00EF0A75"/>
    <w:rsid w:val="00EF1676"/>
    <w:rsid w:val="00EF2621"/>
    <w:rsid w:val="00EF26D0"/>
    <w:rsid w:val="00EF3021"/>
    <w:rsid w:val="00EF3089"/>
    <w:rsid w:val="00EF4616"/>
    <w:rsid w:val="00EF59A0"/>
    <w:rsid w:val="00EF5B0C"/>
    <w:rsid w:val="00EF6A3B"/>
    <w:rsid w:val="00EF6C80"/>
    <w:rsid w:val="00EF6CFB"/>
    <w:rsid w:val="00F005E7"/>
    <w:rsid w:val="00F0157F"/>
    <w:rsid w:val="00F01FB0"/>
    <w:rsid w:val="00F0387A"/>
    <w:rsid w:val="00F03A1F"/>
    <w:rsid w:val="00F03BF2"/>
    <w:rsid w:val="00F03EF8"/>
    <w:rsid w:val="00F04470"/>
    <w:rsid w:val="00F04C51"/>
    <w:rsid w:val="00F04F8D"/>
    <w:rsid w:val="00F058DE"/>
    <w:rsid w:val="00F05F8F"/>
    <w:rsid w:val="00F064D0"/>
    <w:rsid w:val="00F0686D"/>
    <w:rsid w:val="00F072DF"/>
    <w:rsid w:val="00F07649"/>
    <w:rsid w:val="00F07C0C"/>
    <w:rsid w:val="00F10742"/>
    <w:rsid w:val="00F10B9A"/>
    <w:rsid w:val="00F11F63"/>
    <w:rsid w:val="00F12709"/>
    <w:rsid w:val="00F12711"/>
    <w:rsid w:val="00F12E92"/>
    <w:rsid w:val="00F13A6F"/>
    <w:rsid w:val="00F145E6"/>
    <w:rsid w:val="00F167AE"/>
    <w:rsid w:val="00F16A51"/>
    <w:rsid w:val="00F16CC3"/>
    <w:rsid w:val="00F17042"/>
    <w:rsid w:val="00F17AD6"/>
    <w:rsid w:val="00F17C25"/>
    <w:rsid w:val="00F2022B"/>
    <w:rsid w:val="00F20938"/>
    <w:rsid w:val="00F20C4D"/>
    <w:rsid w:val="00F22094"/>
    <w:rsid w:val="00F223E6"/>
    <w:rsid w:val="00F22FC2"/>
    <w:rsid w:val="00F23BA0"/>
    <w:rsid w:val="00F23E70"/>
    <w:rsid w:val="00F24342"/>
    <w:rsid w:val="00F24A52"/>
    <w:rsid w:val="00F25BBF"/>
    <w:rsid w:val="00F260B1"/>
    <w:rsid w:val="00F263AB"/>
    <w:rsid w:val="00F2772E"/>
    <w:rsid w:val="00F27C18"/>
    <w:rsid w:val="00F30EFE"/>
    <w:rsid w:val="00F312A1"/>
    <w:rsid w:val="00F3278A"/>
    <w:rsid w:val="00F33105"/>
    <w:rsid w:val="00F33D53"/>
    <w:rsid w:val="00F34216"/>
    <w:rsid w:val="00F342A7"/>
    <w:rsid w:val="00F34710"/>
    <w:rsid w:val="00F35FE1"/>
    <w:rsid w:val="00F407E9"/>
    <w:rsid w:val="00F40D80"/>
    <w:rsid w:val="00F4159B"/>
    <w:rsid w:val="00F42C72"/>
    <w:rsid w:val="00F4583C"/>
    <w:rsid w:val="00F45D8E"/>
    <w:rsid w:val="00F45F59"/>
    <w:rsid w:val="00F50A94"/>
    <w:rsid w:val="00F515F3"/>
    <w:rsid w:val="00F51B87"/>
    <w:rsid w:val="00F51FD8"/>
    <w:rsid w:val="00F539C2"/>
    <w:rsid w:val="00F55458"/>
    <w:rsid w:val="00F562FC"/>
    <w:rsid w:val="00F56463"/>
    <w:rsid w:val="00F5716E"/>
    <w:rsid w:val="00F57889"/>
    <w:rsid w:val="00F60802"/>
    <w:rsid w:val="00F60F99"/>
    <w:rsid w:val="00F611CC"/>
    <w:rsid w:val="00F61DF8"/>
    <w:rsid w:val="00F64687"/>
    <w:rsid w:val="00F6470C"/>
    <w:rsid w:val="00F64E7B"/>
    <w:rsid w:val="00F66D75"/>
    <w:rsid w:val="00F66D97"/>
    <w:rsid w:val="00F70FB1"/>
    <w:rsid w:val="00F71287"/>
    <w:rsid w:val="00F719E5"/>
    <w:rsid w:val="00F719EC"/>
    <w:rsid w:val="00F73DB5"/>
    <w:rsid w:val="00F7402D"/>
    <w:rsid w:val="00F741E1"/>
    <w:rsid w:val="00F7626B"/>
    <w:rsid w:val="00F76541"/>
    <w:rsid w:val="00F81625"/>
    <w:rsid w:val="00F82487"/>
    <w:rsid w:val="00F84599"/>
    <w:rsid w:val="00F84980"/>
    <w:rsid w:val="00F84F9D"/>
    <w:rsid w:val="00F90D04"/>
    <w:rsid w:val="00F914A4"/>
    <w:rsid w:val="00F91723"/>
    <w:rsid w:val="00F91A85"/>
    <w:rsid w:val="00F920EE"/>
    <w:rsid w:val="00F935AF"/>
    <w:rsid w:val="00F93C53"/>
    <w:rsid w:val="00F9427C"/>
    <w:rsid w:val="00F96561"/>
    <w:rsid w:val="00FA0487"/>
    <w:rsid w:val="00FA0854"/>
    <w:rsid w:val="00FA25C2"/>
    <w:rsid w:val="00FA290D"/>
    <w:rsid w:val="00FA335B"/>
    <w:rsid w:val="00FA3E13"/>
    <w:rsid w:val="00FA5AFB"/>
    <w:rsid w:val="00FA6031"/>
    <w:rsid w:val="00FA688E"/>
    <w:rsid w:val="00FB0259"/>
    <w:rsid w:val="00FB036D"/>
    <w:rsid w:val="00FB1A97"/>
    <w:rsid w:val="00FB23F9"/>
    <w:rsid w:val="00FB3168"/>
    <w:rsid w:val="00FB4306"/>
    <w:rsid w:val="00FB446B"/>
    <w:rsid w:val="00FB448D"/>
    <w:rsid w:val="00FB4926"/>
    <w:rsid w:val="00FB554C"/>
    <w:rsid w:val="00FB56B1"/>
    <w:rsid w:val="00FB6298"/>
    <w:rsid w:val="00FB702A"/>
    <w:rsid w:val="00FB7221"/>
    <w:rsid w:val="00FB7A79"/>
    <w:rsid w:val="00FB7A91"/>
    <w:rsid w:val="00FC13C9"/>
    <w:rsid w:val="00FC2326"/>
    <w:rsid w:val="00FC27F5"/>
    <w:rsid w:val="00FC310B"/>
    <w:rsid w:val="00FC3267"/>
    <w:rsid w:val="00FC3D56"/>
    <w:rsid w:val="00FC44F7"/>
    <w:rsid w:val="00FC45F8"/>
    <w:rsid w:val="00FC48CD"/>
    <w:rsid w:val="00FC6016"/>
    <w:rsid w:val="00FC6063"/>
    <w:rsid w:val="00FC675B"/>
    <w:rsid w:val="00FC74E5"/>
    <w:rsid w:val="00FC758F"/>
    <w:rsid w:val="00FD2016"/>
    <w:rsid w:val="00FD2F59"/>
    <w:rsid w:val="00FD3579"/>
    <w:rsid w:val="00FD390D"/>
    <w:rsid w:val="00FD54CF"/>
    <w:rsid w:val="00FD79BD"/>
    <w:rsid w:val="00FE0A10"/>
    <w:rsid w:val="00FE0C68"/>
    <w:rsid w:val="00FE0ED8"/>
    <w:rsid w:val="00FE10BC"/>
    <w:rsid w:val="00FE2586"/>
    <w:rsid w:val="00FE389A"/>
    <w:rsid w:val="00FE5509"/>
    <w:rsid w:val="00FE5B0F"/>
    <w:rsid w:val="00FE6173"/>
    <w:rsid w:val="00FE7E2A"/>
    <w:rsid w:val="00FF0417"/>
    <w:rsid w:val="00FF1421"/>
    <w:rsid w:val="00FF1A6F"/>
    <w:rsid w:val="00FF22A4"/>
    <w:rsid w:val="00FF3389"/>
    <w:rsid w:val="00FF41BA"/>
    <w:rsid w:val="00FF4DD4"/>
    <w:rsid w:val="00FF55DD"/>
    <w:rsid w:val="00FF5A2D"/>
    <w:rsid w:val="00FF6650"/>
    <w:rsid w:val="00FF6729"/>
    <w:rsid w:val="00FF695D"/>
    <w:rsid w:val="00FF6CA6"/>
    <w:rsid w:val="00FF74DD"/>
    <w:rsid w:val="00FF7A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89"/>
    <w:pPr>
      <w:spacing w:after="200" w:line="276" w:lineRule="auto"/>
    </w:pPr>
    <w:rPr>
      <w:rFonts w:cs="Calibri"/>
      <w:lang w:val="en-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0A67"/>
    <w:pPr>
      <w:spacing w:after="0" w:line="240" w:lineRule="auto"/>
    </w:pPr>
    <w:rPr>
      <w:rFonts w:ascii="Tahoma" w:hAnsi="Tahoma" w:cs="Times New Roman"/>
      <w:sz w:val="16"/>
      <w:szCs w:val="16"/>
      <w:lang w:eastAsia="ja-JP"/>
    </w:rPr>
  </w:style>
  <w:style w:type="character" w:customStyle="1" w:styleId="BalloonTextChar">
    <w:name w:val="Balloon Text Char"/>
    <w:basedOn w:val="DefaultParagraphFont"/>
    <w:link w:val="BalloonText"/>
    <w:uiPriority w:val="99"/>
    <w:semiHidden/>
    <w:locked/>
    <w:rsid w:val="00DF0A67"/>
    <w:rPr>
      <w:rFonts w:ascii="Tahoma" w:hAnsi="Tahoma" w:cs="Times New Roman"/>
      <w:sz w:val="16"/>
      <w:lang w:val="en-MY"/>
    </w:rPr>
  </w:style>
  <w:style w:type="table" w:styleId="TableGrid">
    <w:name w:val="Table Grid"/>
    <w:basedOn w:val="TableNormal"/>
    <w:uiPriority w:val="99"/>
    <w:rsid w:val="005D0D8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054926"/>
    <w:pPr>
      <w:autoSpaceDE w:val="0"/>
      <w:autoSpaceDN w:val="0"/>
      <w:adjustRightInd w:val="0"/>
      <w:spacing w:after="0" w:line="240" w:lineRule="auto"/>
      <w:ind w:left="720"/>
    </w:pPr>
    <w:rPr>
      <w:rFonts w:ascii="Times New Roman" w:hAnsi="Times New Roman" w:cs="Times New Roman"/>
      <w:sz w:val="20"/>
      <w:szCs w:val="20"/>
      <w:lang w:val="en-US" w:eastAsia="en-US"/>
    </w:rPr>
  </w:style>
  <w:style w:type="character" w:customStyle="1" w:styleId="BodyTextIndentChar">
    <w:name w:val="Body Text Indent Char"/>
    <w:basedOn w:val="DefaultParagraphFont"/>
    <w:link w:val="BodyTextIndent"/>
    <w:uiPriority w:val="99"/>
    <w:semiHidden/>
    <w:locked/>
    <w:rsid w:val="00054926"/>
    <w:rPr>
      <w:rFonts w:ascii="Times New Roman" w:hAnsi="Times New Roman" w:cs="Times New Roman"/>
      <w:lang w:eastAsia="en-US"/>
    </w:rPr>
  </w:style>
  <w:style w:type="paragraph" w:styleId="ListParagraph">
    <w:name w:val="List Paragraph"/>
    <w:basedOn w:val="Normal"/>
    <w:uiPriority w:val="99"/>
    <w:qFormat/>
    <w:rsid w:val="00054926"/>
    <w:pPr>
      <w:spacing w:after="0" w:line="240" w:lineRule="auto"/>
      <w:ind w:left="720"/>
    </w:pPr>
    <w:rPr>
      <w:rFonts w:ascii="Times New Roman" w:hAnsi="Times New Roman" w:cs="Times New Roman"/>
      <w:sz w:val="24"/>
      <w:szCs w:val="24"/>
      <w:lang w:val="en-US" w:eastAsia="en-US"/>
    </w:rPr>
  </w:style>
  <w:style w:type="paragraph" w:styleId="Header">
    <w:name w:val="header"/>
    <w:basedOn w:val="Normal"/>
    <w:link w:val="HeaderChar"/>
    <w:uiPriority w:val="99"/>
    <w:rsid w:val="00502A91"/>
    <w:pPr>
      <w:tabs>
        <w:tab w:val="center" w:pos="4153"/>
        <w:tab w:val="right" w:pos="8306"/>
      </w:tabs>
    </w:pPr>
    <w:rPr>
      <w:rFonts w:cs="Times New Roman"/>
      <w:sz w:val="20"/>
      <w:szCs w:val="20"/>
      <w:lang w:eastAsia="ja-JP"/>
    </w:rPr>
  </w:style>
  <w:style w:type="character" w:customStyle="1" w:styleId="HeaderChar">
    <w:name w:val="Header Char"/>
    <w:basedOn w:val="DefaultParagraphFont"/>
    <w:link w:val="Header"/>
    <w:uiPriority w:val="99"/>
    <w:locked/>
    <w:rsid w:val="00502A91"/>
    <w:rPr>
      <w:rFonts w:cs="Times New Roman"/>
      <w:lang w:val="en-MY"/>
    </w:rPr>
  </w:style>
  <w:style w:type="paragraph" w:styleId="Footer">
    <w:name w:val="footer"/>
    <w:basedOn w:val="Normal"/>
    <w:link w:val="FooterChar"/>
    <w:uiPriority w:val="99"/>
    <w:rsid w:val="00502A91"/>
    <w:pPr>
      <w:tabs>
        <w:tab w:val="center" w:pos="4153"/>
        <w:tab w:val="right" w:pos="8306"/>
      </w:tabs>
    </w:pPr>
    <w:rPr>
      <w:rFonts w:cs="Times New Roman"/>
      <w:sz w:val="20"/>
      <w:szCs w:val="20"/>
      <w:lang w:eastAsia="ja-JP"/>
    </w:rPr>
  </w:style>
  <w:style w:type="character" w:customStyle="1" w:styleId="FooterChar">
    <w:name w:val="Footer Char"/>
    <w:basedOn w:val="DefaultParagraphFont"/>
    <w:link w:val="Footer"/>
    <w:uiPriority w:val="99"/>
    <w:locked/>
    <w:rsid w:val="00502A91"/>
    <w:rPr>
      <w:rFonts w:cs="Times New Roman"/>
      <w:lang w:val="en-MY"/>
    </w:rPr>
  </w:style>
  <w:style w:type="character" w:styleId="CommentReference">
    <w:name w:val="annotation reference"/>
    <w:basedOn w:val="DefaultParagraphFont"/>
    <w:uiPriority w:val="99"/>
    <w:semiHidden/>
    <w:rsid w:val="001A7F43"/>
    <w:rPr>
      <w:rFonts w:cs="Times New Roman"/>
      <w:sz w:val="16"/>
    </w:rPr>
  </w:style>
  <w:style w:type="paragraph" w:styleId="CommentText">
    <w:name w:val="annotation text"/>
    <w:basedOn w:val="Normal"/>
    <w:link w:val="CommentTextChar"/>
    <w:uiPriority w:val="99"/>
    <w:semiHidden/>
    <w:rsid w:val="001A7F43"/>
    <w:rPr>
      <w:rFonts w:cs="Times New Roman"/>
      <w:sz w:val="20"/>
      <w:szCs w:val="20"/>
    </w:rPr>
  </w:style>
  <w:style w:type="character" w:customStyle="1" w:styleId="CommentTextChar">
    <w:name w:val="Comment Text Char"/>
    <w:basedOn w:val="DefaultParagraphFont"/>
    <w:link w:val="CommentText"/>
    <w:uiPriority w:val="99"/>
    <w:semiHidden/>
    <w:locked/>
    <w:rsid w:val="00BC7544"/>
    <w:rPr>
      <w:rFonts w:cs="Times New Roman"/>
      <w:sz w:val="20"/>
      <w:lang w:val="en-MY" w:eastAsia="zh-CN"/>
    </w:rPr>
  </w:style>
  <w:style w:type="paragraph" w:styleId="CommentSubject">
    <w:name w:val="annotation subject"/>
    <w:basedOn w:val="CommentText"/>
    <w:next w:val="CommentText"/>
    <w:link w:val="CommentSubjectChar"/>
    <w:uiPriority w:val="99"/>
    <w:semiHidden/>
    <w:rsid w:val="001A7F43"/>
    <w:rPr>
      <w:b/>
      <w:bCs/>
    </w:rPr>
  </w:style>
  <w:style w:type="character" w:customStyle="1" w:styleId="CommentSubjectChar">
    <w:name w:val="Comment Subject Char"/>
    <w:basedOn w:val="CommentTextChar"/>
    <w:link w:val="CommentSubject"/>
    <w:uiPriority w:val="99"/>
    <w:semiHidden/>
    <w:locked/>
    <w:rsid w:val="00BC7544"/>
    <w:rPr>
      <w:rFonts w:cs="Times New Roman"/>
      <w:b/>
      <w:sz w:val="20"/>
      <w:lang w:val="en-MY" w:eastAsia="zh-CN"/>
    </w:rPr>
  </w:style>
  <w:style w:type="character" w:customStyle="1" w:styleId="apple-style-span">
    <w:name w:val="apple-style-span"/>
    <w:uiPriority w:val="99"/>
    <w:rsid w:val="00C24E25"/>
  </w:style>
  <w:style w:type="numbering" w:customStyle="1" w:styleId="NoList1">
    <w:name w:val="No List1"/>
    <w:next w:val="NoList"/>
    <w:uiPriority w:val="99"/>
    <w:semiHidden/>
    <w:unhideWhenUsed/>
    <w:rsid w:val="00223B18"/>
  </w:style>
  <w:style w:type="table" w:customStyle="1" w:styleId="TableGrid1">
    <w:name w:val="Table Grid1"/>
    <w:basedOn w:val="TableNormal"/>
    <w:next w:val="TableGrid"/>
    <w:uiPriority w:val="99"/>
    <w:rsid w:val="00223B1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482C"/>
    <w:rPr>
      <w:rFonts w:cs="Calibri"/>
      <w:lang w:val="en-MY" w:eastAsia="zh-CN"/>
    </w:rPr>
  </w:style>
  <w:style w:type="paragraph" w:styleId="NormalWeb">
    <w:name w:val="Normal (Web)"/>
    <w:basedOn w:val="Normal"/>
    <w:uiPriority w:val="99"/>
    <w:semiHidden/>
    <w:unhideWhenUsed/>
    <w:rsid w:val="009828E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643D5"/>
    <w:rPr>
      <w:rFonts w:cs="Calibri"/>
      <w:lang w:val="en-MY" w:eastAsia="zh-CN"/>
    </w:rPr>
  </w:style>
  <w:style w:type="paragraph" w:styleId="Date">
    <w:name w:val="Date"/>
    <w:basedOn w:val="Normal"/>
    <w:next w:val="Normal"/>
    <w:link w:val="DateChar"/>
    <w:uiPriority w:val="99"/>
    <w:semiHidden/>
    <w:unhideWhenUsed/>
    <w:rsid w:val="00D454C3"/>
  </w:style>
  <w:style w:type="character" w:customStyle="1" w:styleId="DateChar">
    <w:name w:val="Date Char"/>
    <w:basedOn w:val="DefaultParagraphFont"/>
    <w:link w:val="Date"/>
    <w:uiPriority w:val="99"/>
    <w:semiHidden/>
    <w:rsid w:val="00D454C3"/>
    <w:rPr>
      <w:rFonts w:cs="Calibri"/>
      <w:lang w:val="en-MY" w:eastAsia="zh-CN"/>
    </w:rPr>
  </w:style>
  <w:style w:type="character" w:customStyle="1" w:styleId="apple-converted-space">
    <w:name w:val="apple-converted-space"/>
    <w:basedOn w:val="DefaultParagraphFont"/>
    <w:rsid w:val="000F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89"/>
    <w:pPr>
      <w:spacing w:after="200" w:line="276" w:lineRule="auto"/>
    </w:pPr>
    <w:rPr>
      <w:rFonts w:cs="Calibri"/>
      <w:lang w:val="en-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0A67"/>
    <w:pPr>
      <w:spacing w:after="0" w:line="240" w:lineRule="auto"/>
    </w:pPr>
    <w:rPr>
      <w:rFonts w:ascii="Tahoma" w:hAnsi="Tahoma" w:cs="Times New Roman"/>
      <w:sz w:val="16"/>
      <w:szCs w:val="16"/>
      <w:lang w:eastAsia="ja-JP"/>
    </w:rPr>
  </w:style>
  <w:style w:type="character" w:customStyle="1" w:styleId="BalloonTextChar">
    <w:name w:val="Balloon Text Char"/>
    <w:basedOn w:val="DefaultParagraphFont"/>
    <w:link w:val="BalloonText"/>
    <w:uiPriority w:val="99"/>
    <w:semiHidden/>
    <w:locked/>
    <w:rsid w:val="00DF0A67"/>
    <w:rPr>
      <w:rFonts w:ascii="Tahoma" w:hAnsi="Tahoma" w:cs="Times New Roman"/>
      <w:sz w:val="16"/>
      <w:lang w:val="en-MY"/>
    </w:rPr>
  </w:style>
  <w:style w:type="table" w:styleId="TableGrid">
    <w:name w:val="Table Grid"/>
    <w:basedOn w:val="TableNormal"/>
    <w:uiPriority w:val="99"/>
    <w:rsid w:val="005D0D8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054926"/>
    <w:pPr>
      <w:autoSpaceDE w:val="0"/>
      <w:autoSpaceDN w:val="0"/>
      <w:adjustRightInd w:val="0"/>
      <w:spacing w:after="0" w:line="240" w:lineRule="auto"/>
      <w:ind w:left="720"/>
    </w:pPr>
    <w:rPr>
      <w:rFonts w:ascii="Times New Roman" w:hAnsi="Times New Roman" w:cs="Times New Roman"/>
      <w:sz w:val="20"/>
      <w:szCs w:val="20"/>
      <w:lang w:val="en-US" w:eastAsia="en-US"/>
    </w:rPr>
  </w:style>
  <w:style w:type="character" w:customStyle="1" w:styleId="BodyTextIndentChar">
    <w:name w:val="Body Text Indent Char"/>
    <w:basedOn w:val="DefaultParagraphFont"/>
    <w:link w:val="BodyTextIndent"/>
    <w:uiPriority w:val="99"/>
    <w:semiHidden/>
    <w:locked/>
    <w:rsid w:val="00054926"/>
    <w:rPr>
      <w:rFonts w:ascii="Times New Roman" w:hAnsi="Times New Roman" w:cs="Times New Roman"/>
      <w:lang w:eastAsia="en-US"/>
    </w:rPr>
  </w:style>
  <w:style w:type="paragraph" w:styleId="ListParagraph">
    <w:name w:val="List Paragraph"/>
    <w:basedOn w:val="Normal"/>
    <w:uiPriority w:val="99"/>
    <w:qFormat/>
    <w:rsid w:val="00054926"/>
    <w:pPr>
      <w:spacing w:after="0" w:line="240" w:lineRule="auto"/>
      <w:ind w:left="720"/>
    </w:pPr>
    <w:rPr>
      <w:rFonts w:ascii="Times New Roman" w:hAnsi="Times New Roman" w:cs="Times New Roman"/>
      <w:sz w:val="24"/>
      <w:szCs w:val="24"/>
      <w:lang w:val="en-US" w:eastAsia="en-US"/>
    </w:rPr>
  </w:style>
  <w:style w:type="paragraph" w:styleId="Header">
    <w:name w:val="header"/>
    <w:basedOn w:val="Normal"/>
    <w:link w:val="HeaderChar"/>
    <w:uiPriority w:val="99"/>
    <w:rsid w:val="00502A91"/>
    <w:pPr>
      <w:tabs>
        <w:tab w:val="center" w:pos="4153"/>
        <w:tab w:val="right" w:pos="8306"/>
      </w:tabs>
    </w:pPr>
    <w:rPr>
      <w:rFonts w:cs="Times New Roman"/>
      <w:sz w:val="20"/>
      <w:szCs w:val="20"/>
      <w:lang w:eastAsia="ja-JP"/>
    </w:rPr>
  </w:style>
  <w:style w:type="character" w:customStyle="1" w:styleId="HeaderChar">
    <w:name w:val="Header Char"/>
    <w:basedOn w:val="DefaultParagraphFont"/>
    <w:link w:val="Header"/>
    <w:uiPriority w:val="99"/>
    <w:locked/>
    <w:rsid w:val="00502A91"/>
    <w:rPr>
      <w:rFonts w:cs="Times New Roman"/>
      <w:lang w:val="en-MY"/>
    </w:rPr>
  </w:style>
  <w:style w:type="paragraph" w:styleId="Footer">
    <w:name w:val="footer"/>
    <w:basedOn w:val="Normal"/>
    <w:link w:val="FooterChar"/>
    <w:uiPriority w:val="99"/>
    <w:rsid w:val="00502A91"/>
    <w:pPr>
      <w:tabs>
        <w:tab w:val="center" w:pos="4153"/>
        <w:tab w:val="right" w:pos="8306"/>
      </w:tabs>
    </w:pPr>
    <w:rPr>
      <w:rFonts w:cs="Times New Roman"/>
      <w:sz w:val="20"/>
      <w:szCs w:val="20"/>
      <w:lang w:eastAsia="ja-JP"/>
    </w:rPr>
  </w:style>
  <w:style w:type="character" w:customStyle="1" w:styleId="FooterChar">
    <w:name w:val="Footer Char"/>
    <w:basedOn w:val="DefaultParagraphFont"/>
    <w:link w:val="Footer"/>
    <w:uiPriority w:val="99"/>
    <w:locked/>
    <w:rsid w:val="00502A91"/>
    <w:rPr>
      <w:rFonts w:cs="Times New Roman"/>
      <w:lang w:val="en-MY"/>
    </w:rPr>
  </w:style>
  <w:style w:type="character" w:styleId="CommentReference">
    <w:name w:val="annotation reference"/>
    <w:basedOn w:val="DefaultParagraphFont"/>
    <w:uiPriority w:val="99"/>
    <w:semiHidden/>
    <w:rsid w:val="001A7F43"/>
    <w:rPr>
      <w:rFonts w:cs="Times New Roman"/>
      <w:sz w:val="16"/>
    </w:rPr>
  </w:style>
  <w:style w:type="paragraph" w:styleId="CommentText">
    <w:name w:val="annotation text"/>
    <w:basedOn w:val="Normal"/>
    <w:link w:val="CommentTextChar"/>
    <w:uiPriority w:val="99"/>
    <w:semiHidden/>
    <w:rsid w:val="001A7F43"/>
    <w:rPr>
      <w:rFonts w:cs="Times New Roman"/>
      <w:sz w:val="20"/>
      <w:szCs w:val="20"/>
    </w:rPr>
  </w:style>
  <w:style w:type="character" w:customStyle="1" w:styleId="CommentTextChar">
    <w:name w:val="Comment Text Char"/>
    <w:basedOn w:val="DefaultParagraphFont"/>
    <w:link w:val="CommentText"/>
    <w:uiPriority w:val="99"/>
    <w:semiHidden/>
    <w:locked/>
    <w:rsid w:val="00BC7544"/>
    <w:rPr>
      <w:rFonts w:cs="Times New Roman"/>
      <w:sz w:val="20"/>
      <w:lang w:val="en-MY" w:eastAsia="zh-CN"/>
    </w:rPr>
  </w:style>
  <w:style w:type="paragraph" w:styleId="CommentSubject">
    <w:name w:val="annotation subject"/>
    <w:basedOn w:val="CommentText"/>
    <w:next w:val="CommentText"/>
    <w:link w:val="CommentSubjectChar"/>
    <w:uiPriority w:val="99"/>
    <w:semiHidden/>
    <w:rsid w:val="001A7F43"/>
    <w:rPr>
      <w:b/>
      <w:bCs/>
    </w:rPr>
  </w:style>
  <w:style w:type="character" w:customStyle="1" w:styleId="CommentSubjectChar">
    <w:name w:val="Comment Subject Char"/>
    <w:basedOn w:val="CommentTextChar"/>
    <w:link w:val="CommentSubject"/>
    <w:uiPriority w:val="99"/>
    <w:semiHidden/>
    <w:locked/>
    <w:rsid w:val="00BC7544"/>
    <w:rPr>
      <w:rFonts w:cs="Times New Roman"/>
      <w:b/>
      <w:sz w:val="20"/>
      <w:lang w:val="en-MY" w:eastAsia="zh-CN"/>
    </w:rPr>
  </w:style>
  <w:style w:type="character" w:customStyle="1" w:styleId="apple-style-span">
    <w:name w:val="apple-style-span"/>
    <w:uiPriority w:val="99"/>
    <w:rsid w:val="00C24E25"/>
  </w:style>
  <w:style w:type="numbering" w:customStyle="1" w:styleId="NoList1">
    <w:name w:val="No List1"/>
    <w:next w:val="NoList"/>
    <w:uiPriority w:val="99"/>
    <w:semiHidden/>
    <w:unhideWhenUsed/>
    <w:rsid w:val="00223B18"/>
  </w:style>
  <w:style w:type="table" w:customStyle="1" w:styleId="TableGrid1">
    <w:name w:val="Table Grid1"/>
    <w:basedOn w:val="TableNormal"/>
    <w:next w:val="TableGrid"/>
    <w:uiPriority w:val="99"/>
    <w:rsid w:val="00223B1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482C"/>
    <w:rPr>
      <w:rFonts w:cs="Calibri"/>
      <w:lang w:val="en-MY" w:eastAsia="zh-CN"/>
    </w:rPr>
  </w:style>
  <w:style w:type="paragraph" w:styleId="NormalWeb">
    <w:name w:val="Normal (Web)"/>
    <w:basedOn w:val="Normal"/>
    <w:uiPriority w:val="99"/>
    <w:semiHidden/>
    <w:unhideWhenUsed/>
    <w:rsid w:val="009828E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643D5"/>
    <w:rPr>
      <w:rFonts w:cs="Calibri"/>
      <w:lang w:val="en-MY" w:eastAsia="zh-CN"/>
    </w:rPr>
  </w:style>
  <w:style w:type="paragraph" w:styleId="Date">
    <w:name w:val="Date"/>
    <w:basedOn w:val="Normal"/>
    <w:next w:val="Normal"/>
    <w:link w:val="DateChar"/>
    <w:uiPriority w:val="99"/>
    <w:semiHidden/>
    <w:unhideWhenUsed/>
    <w:rsid w:val="00D454C3"/>
  </w:style>
  <w:style w:type="character" w:customStyle="1" w:styleId="DateChar">
    <w:name w:val="Date Char"/>
    <w:basedOn w:val="DefaultParagraphFont"/>
    <w:link w:val="Date"/>
    <w:uiPriority w:val="99"/>
    <w:semiHidden/>
    <w:rsid w:val="00D454C3"/>
    <w:rPr>
      <w:rFonts w:cs="Calibri"/>
      <w:lang w:val="en-MY" w:eastAsia="zh-CN"/>
    </w:rPr>
  </w:style>
  <w:style w:type="character" w:customStyle="1" w:styleId="apple-converted-space">
    <w:name w:val="apple-converted-space"/>
    <w:basedOn w:val="DefaultParagraphFont"/>
    <w:rsid w:val="000F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0959">
      <w:bodyDiv w:val="1"/>
      <w:marLeft w:val="0"/>
      <w:marRight w:val="0"/>
      <w:marTop w:val="0"/>
      <w:marBottom w:val="0"/>
      <w:divBdr>
        <w:top w:val="none" w:sz="0" w:space="0" w:color="auto"/>
        <w:left w:val="none" w:sz="0" w:space="0" w:color="auto"/>
        <w:bottom w:val="none" w:sz="0" w:space="0" w:color="auto"/>
        <w:right w:val="none" w:sz="0" w:space="0" w:color="auto"/>
      </w:divBdr>
    </w:div>
    <w:div w:id="392168019">
      <w:bodyDiv w:val="1"/>
      <w:marLeft w:val="0"/>
      <w:marRight w:val="0"/>
      <w:marTop w:val="0"/>
      <w:marBottom w:val="0"/>
      <w:divBdr>
        <w:top w:val="none" w:sz="0" w:space="0" w:color="auto"/>
        <w:left w:val="none" w:sz="0" w:space="0" w:color="auto"/>
        <w:bottom w:val="none" w:sz="0" w:space="0" w:color="auto"/>
        <w:right w:val="none" w:sz="0" w:space="0" w:color="auto"/>
      </w:divBdr>
    </w:div>
    <w:div w:id="408119669">
      <w:bodyDiv w:val="1"/>
      <w:marLeft w:val="0"/>
      <w:marRight w:val="0"/>
      <w:marTop w:val="0"/>
      <w:marBottom w:val="0"/>
      <w:divBdr>
        <w:top w:val="none" w:sz="0" w:space="0" w:color="auto"/>
        <w:left w:val="none" w:sz="0" w:space="0" w:color="auto"/>
        <w:bottom w:val="none" w:sz="0" w:space="0" w:color="auto"/>
        <w:right w:val="none" w:sz="0" w:space="0" w:color="auto"/>
      </w:divBdr>
    </w:div>
    <w:div w:id="471021405">
      <w:bodyDiv w:val="1"/>
      <w:marLeft w:val="0"/>
      <w:marRight w:val="0"/>
      <w:marTop w:val="0"/>
      <w:marBottom w:val="0"/>
      <w:divBdr>
        <w:top w:val="none" w:sz="0" w:space="0" w:color="auto"/>
        <w:left w:val="none" w:sz="0" w:space="0" w:color="auto"/>
        <w:bottom w:val="none" w:sz="0" w:space="0" w:color="auto"/>
        <w:right w:val="none" w:sz="0" w:space="0" w:color="auto"/>
      </w:divBdr>
    </w:div>
    <w:div w:id="820585344">
      <w:bodyDiv w:val="1"/>
      <w:marLeft w:val="0"/>
      <w:marRight w:val="0"/>
      <w:marTop w:val="0"/>
      <w:marBottom w:val="0"/>
      <w:divBdr>
        <w:top w:val="none" w:sz="0" w:space="0" w:color="auto"/>
        <w:left w:val="none" w:sz="0" w:space="0" w:color="auto"/>
        <w:bottom w:val="none" w:sz="0" w:space="0" w:color="auto"/>
        <w:right w:val="none" w:sz="0" w:space="0" w:color="auto"/>
      </w:divBdr>
    </w:div>
    <w:div w:id="990522227">
      <w:bodyDiv w:val="1"/>
      <w:marLeft w:val="0"/>
      <w:marRight w:val="0"/>
      <w:marTop w:val="0"/>
      <w:marBottom w:val="0"/>
      <w:divBdr>
        <w:top w:val="none" w:sz="0" w:space="0" w:color="auto"/>
        <w:left w:val="none" w:sz="0" w:space="0" w:color="auto"/>
        <w:bottom w:val="none" w:sz="0" w:space="0" w:color="auto"/>
        <w:right w:val="none" w:sz="0" w:space="0" w:color="auto"/>
      </w:divBdr>
    </w:div>
    <w:div w:id="1429540494">
      <w:bodyDiv w:val="1"/>
      <w:marLeft w:val="0"/>
      <w:marRight w:val="0"/>
      <w:marTop w:val="0"/>
      <w:marBottom w:val="0"/>
      <w:divBdr>
        <w:top w:val="none" w:sz="0" w:space="0" w:color="auto"/>
        <w:left w:val="none" w:sz="0" w:space="0" w:color="auto"/>
        <w:bottom w:val="none" w:sz="0" w:space="0" w:color="auto"/>
        <w:right w:val="none" w:sz="0" w:space="0" w:color="auto"/>
      </w:divBdr>
    </w:div>
    <w:div w:id="1694959771">
      <w:bodyDiv w:val="1"/>
      <w:marLeft w:val="0"/>
      <w:marRight w:val="0"/>
      <w:marTop w:val="0"/>
      <w:marBottom w:val="0"/>
      <w:divBdr>
        <w:top w:val="none" w:sz="0" w:space="0" w:color="auto"/>
        <w:left w:val="none" w:sz="0" w:space="0" w:color="auto"/>
        <w:bottom w:val="none" w:sz="0" w:space="0" w:color="auto"/>
        <w:right w:val="none" w:sz="0" w:space="0" w:color="auto"/>
      </w:divBdr>
    </w:div>
    <w:div w:id="1742866347">
      <w:marLeft w:val="0"/>
      <w:marRight w:val="0"/>
      <w:marTop w:val="0"/>
      <w:marBottom w:val="0"/>
      <w:divBdr>
        <w:top w:val="none" w:sz="0" w:space="0" w:color="auto"/>
        <w:left w:val="none" w:sz="0" w:space="0" w:color="auto"/>
        <w:bottom w:val="none" w:sz="0" w:space="0" w:color="auto"/>
        <w:right w:val="none" w:sz="0" w:space="0" w:color="auto"/>
      </w:divBdr>
    </w:div>
    <w:div w:id="1742866348">
      <w:marLeft w:val="0"/>
      <w:marRight w:val="0"/>
      <w:marTop w:val="0"/>
      <w:marBottom w:val="0"/>
      <w:divBdr>
        <w:top w:val="none" w:sz="0" w:space="0" w:color="auto"/>
        <w:left w:val="none" w:sz="0" w:space="0" w:color="auto"/>
        <w:bottom w:val="none" w:sz="0" w:space="0" w:color="auto"/>
        <w:right w:val="none" w:sz="0" w:space="0" w:color="auto"/>
      </w:divBdr>
    </w:div>
    <w:div w:id="1742866349">
      <w:marLeft w:val="0"/>
      <w:marRight w:val="0"/>
      <w:marTop w:val="0"/>
      <w:marBottom w:val="0"/>
      <w:divBdr>
        <w:top w:val="none" w:sz="0" w:space="0" w:color="auto"/>
        <w:left w:val="none" w:sz="0" w:space="0" w:color="auto"/>
        <w:bottom w:val="none" w:sz="0" w:space="0" w:color="auto"/>
        <w:right w:val="none" w:sz="0" w:space="0" w:color="auto"/>
      </w:divBdr>
    </w:div>
    <w:div w:id="1742866350">
      <w:marLeft w:val="0"/>
      <w:marRight w:val="0"/>
      <w:marTop w:val="0"/>
      <w:marBottom w:val="0"/>
      <w:divBdr>
        <w:top w:val="none" w:sz="0" w:space="0" w:color="auto"/>
        <w:left w:val="none" w:sz="0" w:space="0" w:color="auto"/>
        <w:bottom w:val="none" w:sz="0" w:space="0" w:color="auto"/>
        <w:right w:val="none" w:sz="0" w:space="0" w:color="auto"/>
      </w:divBdr>
    </w:div>
    <w:div w:id="1742866351">
      <w:marLeft w:val="0"/>
      <w:marRight w:val="0"/>
      <w:marTop w:val="0"/>
      <w:marBottom w:val="0"/>
      <w:divBdr>
        <w:top w:val="none" w:sz="0" w:space="0" w:color="auto"/>
        <w:left w:val="none" w:sz="0" w:space="0" w:color="auto"/>
        <w:bottom w:val="none" w:sz="0" w:space="0" w:color="auto"/>
        <w:right w:val="none" w:sz="0" w:space="0" w:color="auto"/>
      </w:divBdr>
    </w:div>
    <w:div w:id="1742866352">
      <w:marLeft w:val="0"/>
      <w:marRight w:val="0"/>
      <w:marTop w:val="0"/>
      <w:marBottom w:val="0"/>
      <w:divBdr>
        <w:top w:val="none" w:sz="0" w:space="0" w:color="auto"/>
        <w:left w:val="none" w:sz="0" w:space="0" w:color="auto"/>
        <w:bottom w:val="none" w:sz="0" w:space="0" w:color="auto"/>
        <w:right w:val="none" w:sz="0" w:space="0" w:color="auto"/>
      </w:divBdr>
    </w:div>
    <w:div w:id="1742866353">
      <w:marLeft w:val="0"/>
      <w:marRight w:val="0"/>
      <w:marTop w:val="0"/>
      <w:marBottom w:val="0"/>
      <w:divBdr>
        <w:top w:val="none" w:sz="0" w:space="0" w:color="auto"/>
        <w:left w:val="none" w:sz="0" w:space="0" w:color="auto"/>
        <w:bottom w:val="none" w:sz="0" w:space="0" w:color="auto"/>
        <w:right w:val="none" w:sz="0" w:space="0" w:color="auto"/>
      </w:divBdr>
    </w:div>
    <w:div w:id="1742866354">
      <w:marLeft w:val="0"/>
      <w:marRight w:val="0"/>
      <w:marTop w:val="0"/>
      <w:marBottom w:val="0"/>
      <w:divBdr>
        <w:top w:val="none" w:sz="0" w:space="0" w:color="auto"/>
        <w:left w:val="none" w:sz="0" w:space="0" w:color="auto"/>
        <w:bottom w:val="none" w:sz="0" w:space="0" w:color="auto"/>
        <w:right w:val="none" w:sz="0" w:space="0" w:color="auto"/>
      </w:divBdr>
    </w:div>
    <w:div w:id="1742866355">
      <w:marLeft w:val="0"/>
      <w:marRight w:val="0"/>
      <w:marTop w:val="0"/>
      <w:marBottom w:val="0"/>
      <w:divBdr>
        <w:top w:val="none" w:sz="0" w:space="0" w:color="auto"/>
        <w:left w:val="none" w:sz="0" w:space="0" w:color="auto"/>
        <w:bottom w:val="none" w:sz="0" w:space="0" w:color="auto"/>
        <w:right w:val="none" w:sz="0" w:space="0" w:color="auto"/>
      </w:divBdr>
    </w:div>
    <w:div w:id="1742866356">
      <w:marLeft w:val="0"/>
      <w:marRight w:val="0"/>
      <w:marTop w:val="0"/>
      <w:marBottom w:val="0"/>
      <w:divBdr>
        <w:top w:val="none" w:sz="0" w:space="0" w:color="auto"/>
        <w:left w:val="none" w:sz="0" w:space="0" w:color="auto"/>
        <w:bottom w:val="none" w:sz="0" w:space="0" w:color="auto"/>
        <w:right w:val="none" w:sz="0" w:space="0" w:color="auto"/>
      </w:divBdr>
    </w:div>
    <w:div w:id="1742866357">
      <w:marLeft w:val="0"/>
      <w:marRight w:val="0"/>
      <w:marTop w:val="0"/>
      <w:marBottom w:val="0"/>
      <w:divBdr>
        <w:top w:val="none" w:sz="0" w:space="0" w:color="auto"/>
        <w:left w:val="none" w:sz="0" w:space="0" w:color="auto"/>
        <w:bottom w:val="none" w:sz="0" w:space="0" w:color="auto"/>
        <w:right w:val="none" w:sz="0" w:space="0" w:color="auto"/>
      </w:divBdr>
    </w:div>
    <w:div w:id="1742866358">
      <w:marLeft w:val="0"/>
      <w:marRight w:val="0"/>
      <w:marTop w:val="0"/>
      <w:marBottom w:val="0"/>
      <w:divBdr>
        <w:top w:val="none" w:sz="0" w:space="0" w:color="auto"/>
        <w:left w:val="none" w:sz="0" w:space="0" w:color="auto"/>
        <w:bottom w:val="none" w:sz="0" w:space="0" w:color="auto"/>
        <w:right w:val="none" w:sz="0" w:space="0" w:color="auto"/>
      </w:divBdr>
    </w:div>
    <w:div w:id="1742866359">
      <w:marLeft w:val="0"/>
      <w:marRight w:val="0"/>
      <w:marTop w:val="0"/>
      <w:marBottom w:val="0"/>
      <w:divBdr>
        <w:top w:val="none" w:sz="0" w:space="0" w:color="auto"/>
        <w:left w:val="none" w:sz="0" w:space="0" w:color="auto"/>
        <w:bottom w:val="none" w:sz="0" w:space="0" w:color="auto"/>
        <w:right w:val="none" w:sz="0" w:space="0" w:color="auto"/>
      </w:divBdr>
    </w:div>
    <w:div w:id="1742866360">
      <w:marLeft w:val="0"/>
      <w:marRight w:val="0"/>
      <w:marTop w:val="0"/>
      <w:marBottom w:val="0"/>
      <w:divBdr>
        <w:top w:val="none" w:sz="0" w:space="0" w:color="auto"/>
        <w:left w:val="none" w:sz="0" w:space="0" w:color="auto"/>
        <w:bottom w:val="none" w:sz="0" w:space="0" w:color="auto"/>
        <w:right w:val="none" w:sz="0" w:space="0" w:color="auto"/>
      </w:divBdr>
    </w:div>
    <w:div w:id="1742866361">
      <w:marLeft w:val="0"/>
      <w:marRight w:val="0"/>
      <w:marTop w:val="0"/>
      <w:marBottom w:val="0"/>
      <w:divBdr>
        <w:top w:val="none" w:sz="0" w:space="0" w:color="auto"/>
        <w:left w:val="none" w:sz="0" w:space="0" w:color="auto"/>
        <w:bottom w:val="none" w:sz="0" w:space="0" w:color="auto"/>
        <w:right w:val="none" w:sz="0" w:space="0" w:color="auto"/>
      </w:divBdr>
    </w:div>
    <w:div w:id="1742866362">
      <w:marLeft w:val="0"/>
      <w:marRight w:val="0"/>
      <w:marTop w:val="0"/>
      <w:marBottom w:val="0"/>
      <w:divBdr>
        <w:top w:val="none" w:sz="0" w:space="0" w:color="auto"/>
        <w:left w:val="none" w:sz="0" w:space="0" w:color="auto"/>
        <w:bottom w:val="none" w:sz="0" w:space="0" w:color="auto"/>
        <w:right w:val="none" w:sz="0" w:space="0" w:color="auto"/>
      </w:divBdr>
    </w:div>
    <w:div w:id="1742866363">
      <w:marLeft w:val="0"/>
      <w:marRight w:val="0"/>
      <w:marTop w:val="0"/>
      <w:marBottom w:val="0"/>
      <w:divBdr>
        <w:top w:val="none" w:sz="0" w:space="0" w:color="auto"/>
        <w:left w:val="none" w:sz="0" w:space="0" w:color="auto"/>
        <w:bottom w:val="none" w:sz="0" w:space="0" w:color="auto"/>
        <w:right w:val="none" w:sz="0" w:space="0" w:color="auto"/>
      </w:divBdr>
    </w:div>
    <w:div w:id="1742866364">
      <w:marLeft w:val="0"/>
      <w:marRight w:val="0"/>
      <w:marTop w:val="0"/>
      <w:marBottom w:val="0"/>
      <w:divBdr>
        <w:top w:val="none" w:sz="0" w:space="0" w:color="auto"/>
        <w:left w:val="none" w:sz="0" w:space="0" w:color="auto"/>
        <w:bottom w:val="none" w:sz="0" w:space="0" w:color="auto"/>
        <w:right w:val="none" w:sz="0" w:space="0" w:color="auto"/>
      </w:divBdr>
    </w:div>
    <w:div w:id="1742866365">
      <w:marLeft w:val="0"/>
      <w:marRight w:val="0"/>
      <w:marTop w:val="0"/>
      <w:marBottom w:val="0"/>
      <w:divBdr>
        <w:top w:val="none" w:sz="0" w:space="0" w:color="auto"/>
        <w:left w:val="none" w:sz="0" w:space="0" w:color="auto"/>
        <w:bottom w:val="none" w:sz="0" w:space="0" w:color="auto"/>
        <w:right w:val="none" w:sz="0" w:space="0" w:color="auto"/>
      </w:divBdr>
    </w:div>
    <w:div w:id="1742866366">
      <w:marLeft w:val="0"/>
      <w:marRight w:val="0"/>
      <w:marTop w:val="0"/>
      <w:marBottom w:val="0"/>
      <w:divBdr>
        <w:top w:val="none" w:sz="0" w:space="0" w:color="auto"/>
        <w:left w:val="none" w:sz="0" w:space="0" w:color="auto"/>
        <w:bottom w:val="none" w:sz="0" w:space="0" w:color="auto"/>
        <w:right w:val="none" w:sz="0" w:space="0" w:color="auto"/>
      </w:divBdr>
    </w:div>
    <w:div w:id="1742866367">
      <w:marLeft w:val="0"/>
      <w:marRight w:val="0"/>
      <w:marTop w:val="0"/>
      <w:marBottom w:val="0"/>
      <w:divBdr>
        <w:top w:val="none" w:sz="0" w:space="0" w:color="auto"/>
        <w:left w:val="none" w:sz="0" w:space="0" w:color="auto"/>
        <w:bottom w:val="none" w:sz="0" w:space="0" w:color="auto"/>
        <w:right w:val="none" w:sz="0" w:space="0" w:color="auto"/>
      </w:divBdr>
    </w:div>
    <w:div w:id="1742866368">
      <w:marLeft w:val="0"/>
      <w:marRight w:val="0"/>
      <w:marTop w:val="0"/>
      <w:marBottom w:val="0"/>
      <w:divBdr>
        <w:top w:val="none" w:sz="0" w:space="0" w:color="auto"/>
        <w:left w:val="none" w:sz="0" w:space="0" w:color="auto"/>
        <w:bottom w:val="none" w:sz="0" w:space="0" w:color="auto"/>
        <w:right w:val="none" w:sz="0" w:space="0" w:color="auto"/>
      </w:divBdr>
    </w:div>
    <w:div w:id="1742866369">
      <w:marLeft w:val="0"/>
      <w:marRight w:val="0"/>
      <w:marTop w:val="0"/>
      <w:marBottom w:val="0"/>
      <w:divBdr>
        <w:top w:val="none" w:sz="0" w:space="0" w:color="auto"/>
        <w:left w:val="none" w:sz="0" w:space="0" w:color="auto"/>
        <w:bottom w:val="none" w:sz="0" w:space="0" w:color="auto"/>
        <w:right w:val="none" w:sz="0" w:space="0" w:color="auto"/>
      </w:divBdr>
    </w:div>
    <w:div w:id="1742866370">
      <w:marLeft w:val="0"/>
      <w:marRight w:val="0"/>
      <w:marTop w:val="0"/>
      <w:marBottom w:val="0"/>
      <w:divBdr>
        <w:top w:val="none" w:sz="0" w:space="0" w:color="auto"/>
        <w:left w:val="none" w:sz="0" w:space="0" w:color="auto"/>
        <w:bottom w:val="none" w:sz="0" w:space="0" w:color="auto"/>
        <w:right w:val="none" w:sz="0" w:space="0" w:color="auto"/>
      </w:divBdr>
    </w:div>
    <w:div w:id="1742866375">
      <w:marLeft w:val="0"/>
      <w:marRight w:val="0"/>
      <w:marTop w:val="0"/>
      <w:marBottom w:val="0"/>
      <w:divBdr>
        <w:top w:val="none" w:sz="0" w:space="0" w:color="auto"/>
        <w:left w:val="none" w:sz="0" w:space="0" w:color="auto"/>
        <w:bottom w:val="none" w:sz="0" w:space="0" w:color="auto"/>
        <w:right w:val="none" w:sz="0" w:space="0" w:color="auto"/>
      </w:divBdr>
      <w:divsChild>
        <w:div w:id="1742866342">
          <w:marLeft w:val="0"/>
          <w:marRight w:val="0"/>
          <w:marTop w:val="0"/>
          <w:marBottom w:val="0"/>
          <w:divBdr>
            <w:top w:val="none" w:sz="0" w:space="0" w:color="auto"/>
            <w:left w:val="none" w:sz="0" w:space="0" w:color="auto"/>
            <w:bottom w:val="none" w:sz="0" w:space="0" w:color="auto"/>
            <w:right w:val="none" w:sz="0" w:space="0" w:color="auto"/>
          </w:divBdr>
          <w:divsChild>
            <w:div w:id="1742866379">
              <w:marLeft w:val="0"/>
              <w:marRight w:val="0"/>
              <w:marTop w:val="0"/>
              <w:marBottom w:val="0"/>
              <w:divBdr>
                <w:top w:val="none" w:sz="0" w:space="0" w:color="auto"/>
                <w:left w:val="none" w:sz="0" w:space="0" w:color="auto"/>
                <w:bottom w:val="none" w:sz="0" w:space="0" w:color="auto"/>
                <w:right w:val="none" w:sz="0" w:space="0" w:color="auto"/>
              </w:divBdr>
            </w:div>
          </w:divsChild>
        </w:div>
        <w:div w:id="1742866376">
          <w:marLeft w:val="0"/>
          <w:marRight w:val="0"/>
          <w:marTop w:val="0"/>
          <w:marBottom w:val="0"/>
          <w:divBdr>
            <w:top w:val="none" w:sz="0" w:space="0" w:color="auto"/>
            <w:left w:val="none" w:sz="0" w:space="0" w:color="auto"/>
            <w:bottom w:val="none" w:sz="0" w:space="0" w:color="auto"/>
            <w:right w:val="none" w:sz="0" w:space="0" w:color="auto"/>
          </w:divBdr>
          <w:divsChild>
            <w:div w:id="1742866344">
              <w:marLeft w:val="0"/>
              <w:marRight w:val="0"/>
              <w:marTop w:val="0"/>
              <w:marBottom w:val="0"/>
              <w:divBdr>
                <w:top w:val="none" w:sz="0" w:space="0" w:color="auto"/>
                <w:left w:val="none" w:sz="0" w:space="0" w:color="auto"/>
                <w:bottom w:val="none" w:sz="0" w:space="0" w:color="auto"/>
                <w:right w:val="none" w:sz="0" w:space="0" w:color="auto"/>
              </w:divBdr>
              <w:divsChild>
                <w:div w:id="1742866340">
                  <w:marLeft w:val="0"/>
                  <w:marRight w:val="0"/>
                  <w:marTop w:val="0"/>
                  <w:marBottom w:val="0"/>
                  <w:divBdr>
                    <w:top w:val="none" w:sz="0" w:space="0" w:color="auto"/>
                    <w:left w:val="none" w:sz="0" w:space="0" w:color="auto"/>
                    <w:bottom w:val="none" w:sz="0" w:space="0" w:color="auto"/>
                    <w:right w:val="none" w:sz="0" w:space="0" w:color="auto"/>
                  </w:divBdr>
                  <w:divsChild>
                    <w:div w:id="1742866380">
                      <w:marLeft w:val="0"/>
                      <w:marRight w:val="0"/>
                      <w:marTop w:val="0"/>
                      <w:marBottom w:val="0"/>
                      <w:divBdr>
                        <w:top w:val="none" w:sz="0" w:space="0" w:color="auto"/>
                        <w:left w:val="none" w:sz="0" w:space="0" w:color="auto"/>
                        <w:bottom w:val="none" w:sz="0" w:space="0" w:color="auto"/>
                        <w:right w:val="none" w:sz="0" w:space="0" w:color="auto"/>
                      </w:divBdr>
                    </w:div>
                  </w:divsChild>
                </w:div>
                <w:div w:id="1742866345">
                  <w:marLeft w:val="0"/>
                  <w:marRight w:val="0"/>
                  <w:marTop w:val="0"/>
                  <w:marBottom w:val="0"/>
                  <w:divBdr>
                    <w:top w:val="none" w:sz="0" w:space="0" w:color="auto"/>
                    <w:left w:val="none" w:sz="0" w:space="0" w:color="auto"/>
                    <w:bottom w:val="none" w:sz="0" w:space="0" w:color="auto"/>
                    <w:right w:val="none" w:sz="0" w:space="0" w:color="auto"/>
                  </w:divBdr>
                </w:div>
                <w:div w:id="1742866371">
                  <w:marLeft w:val="0"/>
                  <w:marRight w:val="0"/>
                  <w:marTop w:val="0"/>
                  <w:marBottom w:val="0"/>
                  <w:divBdr>
                    <w:top w:val="none" w:sz="0" w:space="0" w:color="auto"/>
                    <w:left w:val="none" w:sz="0" w:space="0" w:color="auto"/>
                    <w:bottom w:val="none" w:sz="0" w:space="0" w:color="auto"/>
                    <w:right w:val="none" w:sz="0" w:space="0" w:color="auto"/>
                  </w:divBdr>
                  <w:divsChild>
                    <w:div w:id="1742866341">
                      <w:marLeft w:val="0"/>
                      <w:marRight w:val="0"/>
                      <w:marTop w:val="0"/>
                      <w:marBottom w:val="0"/>
                      <w:divBdr>
                        <w:top w:val="none" w:sz="0" w:space="0" w:color="auto"/>
                        <w:left w:val="none" w:sz="0" w:space="0" w:color="auto"/>
                        <w:bottom w:val="none" w:sz="0" w:space="0" w:color="auto"/>
                        <w:right w:val="none" w:sz="0" w:space="0" w:color="auto"/>
                      </w:divBdr>
                    </w:div>
                  </w:divsChild>
                </w:div>
                <w:div w:id="1742866373">
                  <w:marLeft w:val="0"/>
                  <w:marRight w:val="0"/>
                  <w:marTop w:val="0"/>
                  <w:marBottom w:val="0"/>
                  <w:divBdr>
                    <w:top w:val="none" w:sz="0" w:space="0" w:color="auto"/>
                    <w:left w:val="none" w:sz="0" w:space="0" w:color="auto"/>
                    <w:bottom w:val="none" w:sz="0" w:space="0" w:color="auto"/>
                    <w:right w:val="none" w:sz="0" w:space="0" w:color="auto"/>
                  </w:divBdr>
                  <w:divsChild>
                    <w:div w:id="1742866346">
                      <w:marLeft w:val="0"/>
                      <w:marRight w:val="0"/>
                      <w:marTop w:val="0"/>
                      <w:marBottom w:val="0"/>
                      <w:divBdr>
                        <w:top w:val="none" w:sz="0" w:space="0" w:color="auto"/>
                        <w:left w:val="none" w:sz="0" w:space="0" w:color="auto"/>
                        <w:bottom w:val="none" w:sz="0" w:space="0" w:color="auto"/>
                        <w:right w:val="none" w:sz="0" w:space="0" w:color="auto"/>
                      </w:divBdr>
                      <w:divsChild>
                        <w:div w:id="1742866377">
                          <w:marLeft w:val="0"/>
                          <w:marRight w:val="0"/>
                          <w:marTop w:val="0"/>
                          <w:marBottom w:val="0"/>
                          <w:divBdr>
                            <w:top w:val="none" w:sz="0" w:space="0" w:color="auto"/>
                            <w:left w:val="none" w:sz="0" w:space="0" w:color="auto"/>
                            <w:bottom w:val="none" w:sz="0" w:space="0" w:color="auto"/>
                            <w:right w:val="none" w:sz="0" w:space="0" w:color="auto"/>
                          </w:divBdr>
                        </w:div>
                      </w:divsChild>
                    </w:div>
                    <w:div w:id="1742866372">
                      <w:marLeft w:val="0"/>
                      <w:marRight w:val="0"/>
                      <w:marTop w:val="0"/>
                      <w:marBottom w:val="0"/>
                      <w:divBdr>
                        <w:top w:val="none" w:sz="0" w:space="0" w:color="auto"/>
                        <w:left w:val="none" w:sz="0" w:space="0" w:color="auto"/>
                        <w:bottom w:val="none" w:sz="0" w:space="0" w:color="auto"/>
                        <w:right w:val="none" w:sz="0" w:space="0" w:color="auto"/>
                      </w:divBdr>
                      <w:divsChild>
                        <w:div w:id="1742866374">
                          <w:marLeft w:val="0"/>
                          <w:marRight w:val="0"/>
                          <w:marTop w:val="0"/>
                          <w:marBottom w:val="0"/>
                          <w:divBdr>
                            <w:top w:val="none" w:sz="0" w:space="0" w:color="auto"/>
                            <w:left w:val="none" w:sz="0" w:space="0" w:color="auto"/>
                            <w:bottom w:val="none" w:sz="0" w:space="0" w:color="auto"/>
                            <w:right w:val="none" w:sz="0" w:space="0" w:color="auto"/>
                          </w:divBdr>
                        </w:div>
                      </w:divsChild>
                    </w:div>
                    <w:div w:id="1742866378">
                      <w:marLeft w:val="0"/>
                      <w:marRight w:val="0"/>
                      <w:marTop w:val="0"/>
                      <w:marBottom w:val="0"/>
                      <w:divBdr>
                        <w:top w:val="none" w:sz="0" w:space="0" w:color="auto"/>
                        <w:left w:val="none" w:sz="0" w:space="0" w:color="auto"/>
                        <w:bottom w:val="none" w:sz="0" w:space="0" w:color="auto"/>
                        <w:right w:val="none" w:sz="0" w:space="0" w:color="auto"/>
                      </w:divBdr>
                      <w:divsChild>
                        <w:div w:id="17428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66388">
      <w:marLeft w:val="0"/>
      <w:marRight w:val="0"/>
      <w:marTop w:val="0"/>
      <w:marBottom w:val="0"/>
      <w:divBdr>
        <w:top w:val="none" w:sz="0" w:space="0" w:color="auto"/>
        <w:left w:val="none" w:sz="0" w:space="0" w:color="auto"/>
        <w:bottom w:val="none" w:sz="0" w:space="0" w:color="auto"/>
        <w:right w:val="none" w:sz="0" w:space="0" w:color="auto"/>
      </w:divBdr>
    </w:div>
    <w:div w:id="1742866389">
      <w:marLeft w:val="0"/>
      <w:marRight w:val="0"/>
      <w:marTop w:val="0"/>
      <w:marBottom w:val="0"/>
      <w:divBdr>
        <w:top w:val="none" w:sz="0" w:space="0" w:color="auto"/>
        <w:left w:val="none" w:sz="0" w:space="0" w:color="auto"/>
        <w:bottom w:val="none" w:sz="0" w:space="0" w:color="auto"/>
        <w:right w:val="none" w:sz="0" w:space="0" w:color="auto"/>
      </w:divBdr>
    </w:div>
    <w:div w:id="1742866390">
      <w:marLeft w:val="0"/>
      <w:marRight w:val="0"/>
      <w:marTop w:val="0"/>
      <w:marBottom w:val="0"/>
      <w:divBdr>
        <w:top w:val="none" w:sz="0" w:space="0" w:color="auto"/>
        <w:left w:val="none" w:sz="0" w:space="0" w:color="auto"/>
        <w:bottom w:val="none" w:sz="0" w:space="0" w:color="auto"/>
        <w:right w:val="none" w:sz="0" w:space="0" w:color="auto"/>
      </w:divBdr>
    </w:div>
    <w:div w:id="1742866391">
      <w:marLeft w:val="0"/>
      <w:marRight w:val="0"/>
      <w:marTop w:val="0"/>
      <w:marBottom w:val="0"/>
      <w:divBdr>
        <w:top w:val="none" w:sz="0" w:space="0" w:color="auto"/>
        <w:left w:val="none" w:sz="0" w:space="0" w:color="auto"/>
        <w:bottom w:val="none" w:sz="0" w:space="0" w:color="auto"/>
        <w:right w:val="none" w:sz="0" w:space="0" w:color="auto"/>
      </w:divBdr>
    </w:div>
    <w:div w:id="1742866392">
      <w:marLeft w:val="0"/>
      <w:marRight w:val="0"/>
      <w:marTop w:val="0"/>
      <w:marBottom w:val="0"/>
      <w:divBdr>
        <w:top w:val="none" w:sz="0" w:space="0" w:color="auto"/>
        <w:left w:val="none" w:sz="0" w:space="0" w:color="auto"/>
        <w:bottom w:val="none" w:sz="0" w:space="0" w:color="auto"/>
        <w:right w:val="none" w:sz="0" w:space="0" w:color="auto"/>
      </w:divBdr>
    </w:div>
    <w:div w:id="1742866393">
      <w:marLeft w:val="0"/>
      <w:marRight w:val="0"/>
      <w:marTop w:val="0"/>
      <w:marBottom w:val="0"/>
      <w:divBdr>
        <w:top w:val="none" w:sz="0" w:space="0" w:color="auto"/>
        <w:left w:val="none" w:sz="0" w:space="0" w:color="auto"/>
        <w:bottom w:val="none" w:sz="0" w:space="0" w:color="auto"/>
        <w:right w:val="none" w:sz="0" w:space="0" w:color="auto"/>
      </w:divBdr>
    </w:div>
    <w:div w:id="1742866394">
      <w:marLeft w:val="0"/>
      <w:marRight w:val="0"/>
      <w:marTop w:val="0"/>
      <w:marBottom w:val="0"/>
      <w:divBdr>
        <w:top w:val="none" w:sz="0" w:space="0" w:color="auto"/>
        <w:left w:val="none" w:sz="0" w:space="0" w:color="auto"/>
        <w:bottom w:val="none" w:sz="0" w:space="0" w:color="auto"/>
        <w:right w:val="none" w:sz="0" w:space="0" w:color="auto"/>
      </w:divBdr>
    </w:div>
    <w:div w:id="1742866395">
      <w:marLeft w:val="0"/>
      <w:marRight w:val="0"/>
      <w:marTop w:val="0"/>
      <w:marBottom w:val="0"/>
      <w:divBdr>
        <w:top w:val="none" w:sz="0" w:space="0" w:color="auto"/>
        <w:left w:val="none" w:sz="0" w:space="0" w:color="auto"/>
        <w:bottom w:val="none" w:sz="0" w:space="0" w:color="auto"/>
        <w:right w:val="none" w:sz="0" w:space="0" w:color="auto"/>
      </w:divBdr>
    </w:div>
    <w:div w:id="1742866396">
      <w:marLeft w:val="0"/>
      <w:marRight w:val="0"/>
      <w:marTop w:val="0"/>
      <w:marBottom w:val="0"/>
      <w:divBdr>
        <w:top w:val="none" w:sz="0" w:space="0" w:color="auto"/>
        <w:left w:val="none" w:sz="0" w:space="0" w:color="auto"/>
        <w:bottom w:val="none" w:sz="0" w:space="0" w:color="auto"/>
        <w:right w:val="none" w:sz="0" w:space="0" w:color="auto"/>
      </w:divBdr>
    </w:div>
    <w:div w:id="1742866397">
      <w:marLeft w:val="0"/>
      <w:marRight w:val="0"/>
      <w:marTop w:val="0"/>
      <w:marBottom w:val="0"/>
      <w:divBdr>
        <w:top w:val="none" w:sz="0" w:space="0" w:color="auto"/>
        <w:left w:val="none" w:sz="0" w:space="0" w:color="auto"/>
        <w:bottom w:val="none" w:sz="0" w:space="0" w:color="auto"/>
        <w:right w:val="none" w:sz="0" w:space="0" w:color="auto"/>
      </w:divBdr>
    </w:div>
    <w:div w:id="1742866398">
      <w:marLeft w:val="0"/>
      <w:marRight w:val="0"/>
      <w:marTop w:val="0"/>
      <w:marBottom w:val="0"/>
      <w:divBdr>
        <w:top w:val="none" w:sz="0" w:space="0" w:color="auto"/>
        <w:left w:val="none" w:sz="0" w:space="0" w:color="auto"/>
        <w:bottom w:val="none" w:sz="0" w:space="0" w:color="auto"/>
        <w:right w:val="none" w:sz="0" w:space="0" w:color="auto"/>
      </w:divBdr>
    </w:div>
    <w:div w:id="1742866399">
      <w:marLeft w:val="0"/>
      <w:marRight w:val="0"/>
      <w:marTop w:val="0"/>
      <w:marBottom w:val="0"/>
      <w:divBdr>
        <w:top w:val="none" w:sz="0" w:space="0" w:color="auto"/>
        <w:left w:val="none" w:sz="0" w:space="0" w:color="auto"/>
        <w:bottom w:val="none" w:sz="0" w:space="0" w:color="auto"/>
        <w:right w:val="none" w:sz="0" w:space="0" w:color="auto"/>
      </w:divBdr>
    </w:div>
    <w:div w:id="1742866400">
      <w:marLeft w:val="0"/>
      <w:marRight w:val="0"/>
      <w:marTop w:val="0"/>
      <w:marBottom w:val="0"/>
      <w:divBdr>
        <w:top w:val="none" w:sz="0" w:space="0" w:color="auto"/>
        <w:left w:val="none" w:sz="0" w:space="0" w:color="auto"/>
        <w:bottom w:val="none" w:sz="0" w:space="0" w:color="auto"/>
        <w:right w:val="none" w:sz="0" w:space="0" w:color="auto"/>
      </w:divBdr>
    </w:div>
    <w:div w:id="1742866401">
      <w:marLeft w:val="0"/>
      <w:marRight w:val="0"/>
      <w:marTop w:val="0"/>
      <w:marBottom w:val="0"/>
      <w:divBdr>
        <w:top w:val="none" w:sz="0" w:space="0" w:color="auto"/>
        <w:left w:val="none" w:sz="0" w:space="0" w:color="auto"/>
        <w:bottom w:val="none" w:sz="0" w:space="0" w:color="auto"/>
        <w:right w:val="none" w:sz="0" w:space="0" w:color="auto"/>
      </w:divBdr>
    </w:div>
    <w:div w:id="1742866402">
      <w:marLeft w:val="0"/>
      <w:marRight w:val="0"/>
      <w:marTop w:val="0"/>
      <w:marBottom w:val="0"/>
      <w:divBdr>
        <w:top w:val="none" w:sz="0" w:space="0" w:color="auto"/>
        <w:left w:val="none" w:sz="0" w:space="0" w:color="auto"/>
        <w:bottom w:val="none" w:sz="0" w:space="0" w:color="auto"/>
        <w:right w:val="none" w:sz="0" w:space="0" w:color="auto"/>
      </w:divBdr>
    </w:div>
    <w:div w:id="1742866403">
      <w:marLeft w:val="0"/>
      <w:marRight w:val="0"/>
      <w:marTop w:val="0"/>
      <w:marBottom w:val="0"/>
      <w:divBdr>
        <w:top w:val="none" w:sz="0" w:space="0" w:color="auto"/>
        <w:left w:val="none" w:sz="0" w:space="0" w:color="auto"/>
        <w:bottom w:val="none" w:sz="0" w:space="0" w:color="auto"/>
        <w:right w:val="none" w:sz="0" w:space="0" w:color="auto"/>
      </w:divBdr>
    </w:div>
    <w:div w:id="1742866404">
      <w:marLeft w:val="0"/>
      <w:marRight w:val="0"/>
      <w:marTop w:val="0"/>
      <w:marBottom w:val="0"/>
      <w:divBdr>
        <w:top w:val="none" w:sz="0" w:space="0" w:color="auto"/>
        <w:left w:val="none" w:sz="0" w:space="0" w:color="auto"/>
        <w:bottom w:val="none" w:sz="0" w:space="0" w:color="auto"/>
        <w:right w:val="none" w:sz="0" w:space="0" w:color="auto"/>
      </w:divBdr>
    </w:div>
    <w:div w:id="1742866405">
      <w:marLeft w:val="0"/>
      <w:marRight w:val="0"/>
      <w:marTop w:val="0"/>
      <w:marBottom w:val="0"/>
      <w:divBdr>
        <w:top w:val="none" w:sz="0" w:space="0" w:color="auto"/>
        <w:left w:val="none" w:sz="0" w:space="0" w:color="auto"/>
        <w:bottom w:val="none" w:sz="0" w:space="0" w:color="auto"/>
        <w:right w:val="none" w:sz="0" w:space="0" w:color="auto"/>
      </w:divBdr>
    </w:div>
    <w:div w:id="1742866406">
      <w:marLeft w:val="0"/>
      <w:marRight w:val="0"/>
      <w:marTop w:val="0"/>
      <w:marBottom w:val="0"/>
      <w:divBdr>
        <w:top w:val="none" w:sz="0" w:space="0" w:color="auto"/>
        <w:left w:val="none" w:sz="0" w:space="0" w:color="auto"/>
        <w:bottom w:val="none" w:sz="0" w:space="0" w:color="auto"/>
        <w:right w:val="none" w:sz="0" w:space="0" w:color="auto"/>
      </w:divBdr>
    </w:div>
    <w:div w:id="1742866407">
      <w:marLeft w:val="0"/>
      <w:marRight w:val="0"/>
      <w:marTop w:val="0"/>
      <w:marBottom w:val="0"/>
      <w:divBdr>
        <w:top w:val="none" w:sz="0" w:space="0" w:color="auto"/>
        <w:left w:val="none" w:sz="0" w:space="0" w:color="auto"/>
        <w:bottom w:val="none" w:sz="0" w:space="0" w:color="auto"/>
        <w:right w:val="none" w:sz="0" w:space="0" w:color="auto"/>
      </w:divBdr>
    </w:div>
    <w:div w:id="1742866408">
      <w:marLeft w:val="0"/>
      <w:marRight w:val="0"/>
      <w:marTop w:val="0"/>
      <w:marBottom w:val="0"/>
      <w:divBdr>
        <w:top w:val="none" w:sz="0" w:space="0" w:color="auto"/>
        <w:left w:val="none" w:sz="0" w:space="0" w:color="auto"/>
        <w:bottom w:val="none" w:sz="0" w:space="0" w:color="auto"/>
        <w:right w:val="none" w:sz="0" w:space="0" w:color="auto"/>
      </w:divBdr>
    </w:div>
    <w:div w:id="1742866409">
      <w:marLeft w:val="0"/>
      <w:marRight w:val="0"/>
      <w:marTop w:val="0"/>
      <w:marBottom w:val="0"/>
      <w:divBdr>
        <w:top w:val="none" w:sz="0" w:space="0" w:color="auto"/>
        <w:left w:val="none" w:sz="0" w:space="0" w:color="auto"/>
        <w:bottom w:val="none" w:sz="0" w:space="0" w:color="auto"/>
        <w:right w:val="none" w:sz="0" w:space="0" w:color="auto"/>
      </w:divBdr>
    </w:div>
    <w:div w:id="1742866410">
      <w:marLeft w:val="0"/>
      <w:marRight w:val="0"/>
      <w:marTop w:val="0"/>
      <w:marBottom w:val="0"/>
      <w:divBdr>
        <w:top w:val="none" w:sz="0" w:space="0" w:color="auto"/>
        <w:left w:val="none" w:sz="0" w:space="0" w:color="auto"/>
        <w:bottom w:val="none" w:sz="0" w:space="0" w:color="auto"/>
        <w:right w:val="none" w:sz="0" w:space="0" w:color="auto"/>
      </w:divBdr>
    </w:div>
    <w:div w:id="1742866411">
      <w:marLeft w:val="0"/>
      <w:marRight w:val="0"/>
      <w:marTop w:val="0"/>
      <w:marBottom w:val="0"/>
      <w:divBdr>
        <w:top w:val="none" w:sz="0" w:space="0" w:color="auto"/>
        <w:left w:val="none" w:sz="0" w:space="0" w:color="auto"/>
        <w:bottom w:val="none" w:sz="0" w:space="0" w:color="auto"/>
        <w:right w:val="none" w:sz="0" w:space="0" w:color="auto"/>
      </w:divBdr>
    </w:div>
    <w:div w:id="1742866416">
      <w:marLeft w:val="0"/>
      <w:marRight w:val="0"/>
      <w:marTop w:val="0"/>
      <w:marBottom w:val="0"/>
      <w:divBdr>
        <w:top w:val="none" w:sz="0" w:space="0" w:color="auto"/>
        <w:left w:val="none" w:sz="0" w:space="0" w:color="auto"/>
        <w:bottom w:val="none" w:sz="0" w:space="0" w:color="auto"/>
        <w:right w:val="none" w:sz="0" w:space="0" w:color="auto"/>
      </w:divBdr>
      <w:divsChild>
        <w:div w:id="1742866383">
          <w:marLeft w:val="0"/>
          <w:marRight w:val="0"/>
          <w:marTop w:val="0"/>
          <w:marBottom w:val="0"/>
          <w:divBdr>
            <w:top w:val="none" w:sz="0" w:space="0" w:color="auto"/>
            <w:left w:val="none" w:sz="0" w:space="0" w:color="auto"/>
            <w:bottom w:val="none" w:sz="0" w:space="0" w:color="auto"/>
            <w:right w:val="none" w:sz="0" w:space="0" w:color="auto"/>
          </w:divBdr>
          <w:divsChild>
            <w:div w:id="1742866420">
              <w:marLeft w:val="0"/>
              <w:marRight w:val="0"/>
              <w:marTop w:val="0"/>
              <w:marBottom w:val="0"/>
              <w:divBdr>
                <w:top w:val="none" w:sz="0" w:space="0" w:color="auto"/>
                <w:left w:val="none" w:sz="0" w:space="0" w:color="auto"/>
                <w:bottom w:val="none" w:sz="0" w:space="0" w:color="auto"/>
                <w:right w:val="none" w:sz="0" w:space="0" w:color="auto"/>
              </w:divBdr>
            </w:div>
          </w:divsChild>
        </w:div>
        <w:div w:id="1742866417">
          <w:marLeft w:val="0"/>
          <w:marRight w:val="0"/>
          <w:marTop w:val="0"/>
          <w:marBottom w:val="0"/>
          <w:divBdr>
            <w:top w:val="none" w:sz="0" w:space="0" w:color="auto"/>
            <w:left w:val="none" w:sz="0" w:space="0" w:color="auto"/>
            <w:bottom w:val="none" w:sz="0" w:space="0" w:color="auto"/>
            <w:right w:val="none" w:sz="0" w:space="0" w:color="auto"/>
          </w:divBdr>
          <w:divsChild>
            <w:div w:id="1742866385">
              <w:marLeft w:val="0"/>
              <w:marRight w:val="0"/>
              <w:marTop w:val="0"/>
              <w:marBottom w:val="0"/>
              <w:divBdr>
                <w:top w:val="none" w:sz="0" w:space="0" w:color="auto"/>
                <w:left w:val="none" w:sz="0" w:space="0" w:color="auto"/>
                <w:bottom w:val="none" w:sz="0" w:space="0" w:color="auto"/>
                <w:right w:val="none" w:sz="0" w:space="0" w:color="auto"/>
              </w:divBdr>
              <w:divsChild>
                <w:div w:id="1742866381">
                  <w:marLeft w:val="0"/>
                  <w:marRight w:val="0"/>
                  <w:marTop w:val="0"/>
                  <w:marBottom w:val="0"/>
                  <w:divBdr>
                    <w:top w:val="none" w:sz="0" w:space="0" w:color="auto"/>
                    <w:left w:val="none" w:sz="0" w:space="0" w:color="auto"/>
                    <w:bottom w:val="none" w:sz="0" w:space="0" w:color="auto"/>
                    <w:right w:val="none" w:sz="0" w:space="0" w:color="auto"/>
                  </w:divBdr>
                  <w:divsChild>
                    <w:div w:id="1742866421">
                      <w:marLeft w:val="0"/>
                      <w:marRight w:val="0"/>
                      <w:marTop w:val="0"/>
                      <w:marBottom w:val="0"/>
                      <w:divBdr>
                        <w:top w:val="none" w:sz="0" w:space="0" w:color="auto"/>
                        <w:left w:val="none" w:sz="0" w:space="0" w:color="auto"/>
                        <w:bottom w:val="none" w:sz="0" w:space="0" w:color="auto"/>
                        <w:right w:val="none" w:sz="0" w:space="0" w:color="auto"/>
                      </w:divBdr>
                    </w:div>
                  </w:divsChild>
                </w:div>
                <w:div w:id="1742866386">
                  <w:marLeft w:val="0"/>
                  <w:marRight w:val="0"/>
                  <w:marTop w:val="0"/>
                  <w:marBottom w:val="0"/>
                  <w:divBdr>
                    <w:top w:val="none" w:sz="0" w:space="0" w:color="auto"/>
                    <w:left w:val="none" w:sz="0" w:space="0" w:color="auto"/>
                    <w:bottom w:val="none" w:sz="0" w:space="0" w:color="auto"/>
                    <w:right w:val="none" w:sz="0" w:space="0" w:color="auto"/>
                  </w:divBdr>
                </w:div>
                <w:div w:id="1742866412">
                  <w:marLeft w:val="0"/>
                  <w:marRight w:val="0"/>
                  <w:marTop w:val="0"/>
                  <w:marBottom w:val="0"/>
                  <w:divBdr>
                    <w:top w:val="none" w:sz="0" w:space="0" w:color="auto"/>
                    <w:left w:val="none" w:sz="0" w:space="0" w:color="auto"/>
                    <w:bottom w:val="none" w:sz="0" w:space="0" w:color="auto"/>
                    <w:right w:val="none" w:sz="0" w:space="0" w:color="auto"/>
                  </w:divBdr>
                  <w:divsChild>
                    <w:div w:id="1742866382">
                      <w:marLeft w:val="0"/>
                      <w:marRight w:val="0"/>
                      <w:marTop w:val="0"/>
                      <w:marBottom w:val="0"/>
                      <w:divBdr>
                        <w:top w:val="none" w:sz="0" w:space="0" w:color="auto"/>
                        <w:left w:val="none" w:sz="0" w:space="0" w:color="auto"/>
                        <w:bottom w:val="none" w:sz="0" w:space="0" w:color="auto"/>
                        <w:right w:val="none" w:sz="0" w:space="0" w:color="auto"/>
                      </w:divBdr>
                    </w:div>
                  </w:divsChild>
                </w:div>
                <w:div w:id="1742866414">
                  <w:marLeft w:val="0"/>
                  <w:marRight w:val="0"/>
                  <w:marTop w:val="0"/>
                  <w:marBottom w:val="0"/>
                  <w:divBdr>
                    <w:top w:val="none" w:sz="0" w:space="0" w:color="auto"/>
                    <w:left w:val="none" w:sz="0" w:space="0" w:color="auto"/>
                    <w:bottom w:val="none" w:sz="0" w:space="0" w:color="auto"/>
                    <w:right w:val="none" w:sz="0" w:space="0" w:color="auto"/>
                  </w:divBdr>
                  <w:divsChild>
                    <w:div w:id="1742866387">
                      <w:marLeft w:val="0"/>
                      <w:marRight w:val="0"/>
                      <w:marTop w:val="0"/>
                      <w:marBottom w:val="0"/>
                      <w:divBdr>
                        <w:top w:val="none" w:sz="0" w:space="0" w:color="auto"/>
                        <w:left w:val="none" w:sz="0" w:space="0" w:color="auto"/>
                        <w:bottom w:val="none" w:sz="0" w:space="0" w:color="auto"/>
                        <w:right w:val="none" w:sz="0" w:space="0" w:color="auto"/>
                      </w:divBdr>
                      <w:divsChild>
                        <w:div w:id="1742866418">
                          <w:marLeft w:val="0"/>
                          <w:marRight w:val="0"/>
                          <w:marTop w:val="0"/>
                          <w:marBottom w:val="0"/>
                          <w:divBdr>
                            <w:top w:val="none" w:sz="0" w:space="0" w:color="auto"/>
                            <w:left w:val="none" w:sz="0" w:space="0" w:color="auto"/>
                            <w:bottom w:val="none" w:sz="0" w:space="0" w:color="auto"/>
                            <w:right w:val="none" w:sz="0" w:space="0" w:color="auto"/>
                          </w:divBdr>
                        </w:div>
                      </w:divsChild>
                    </w:div>
                    <w:div w:id="1742866413">
                      <w:marLeft w:val="0"/>
                      <w:marRight w:val="0"/>
                      <w:marTop w:val="0"/>
                      <w:marBottom w:val="0"/>
                      <w:divBdr>
                        <w:top w:val="none" w:sz="0" w:space="0" w:color="auto"/>
                        <w:left w:val="none" w:sz="0" w:space="0" w:color="auto"/>
                        <w:bottom w:val="none" w:sz="0" w:space="0" w:color="auto"/>
                        <w:right w:val="none" w:sz="0" w:space="0" w:color="auto"/>
                      </w:divBdr>
                      <w:divsChild>
                        <w:div w:id="1742866415">
                          <w:marLeft w:val="0"/>
                          <w:marRight w:val="0"/>
                          <w:marTop w:val="0"/>
                          <w:marBottom w:val="0"/>
                          <w:divBdr>
                            <w:top w:val="none" w:sz="0" w:space="0" w:color="auto"/>
                            <w:left w:val="none" w:sz="0" w:space="0" w:color="auto"/>
                            <w:bottom w:val="none" w:sz="0" w:space="0" w:color="auto"/>
                            <w:right w:val="none" w:sz="0" w:space="0" w:color="auto"/>
                          </w:divBdr>
                        </w:div>
                      </w:divsChild>
                    </w:div>
                    <w:div w:id="1742866419">
                      <w:marLeft w:val="0"/>
                      <w:marRight w:val="0"/>
                      <w:marTop w:val="0"/>
                      <w:marBottom w:val="0"/>
                      <w:divBdr>
                        <w:top w:val="none" w:sz="0" w:space="0" w:color="auto"/>
                        <w:left w:val="none" w:sz="0" w:space="0" w:color="auto"/>
                        <w:bottom w:val="none" w:sz="0" w:space="0" w:color="auto"/>
                        <w:right w:val="none" w:sz="0" w:space="0" w:color="auto"/>
                      </w:divBdr>
                      <w:divsChild>
                        <w:div w:id="17428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8D56-E1AD-49B8-B797-3EBE57A7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SMARTAG SOLUTIONS BERHAD (639421-X)</vt:lpstr>
    </vt:vector>
  </TitlesOfParts>
  <Company>Microsoft</Company>
  <LinksUpToDate>false</LinksUpToDate>
  <CharactersWithSpaces>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SMARTAG SOLUTIONS BERHAD (639421-X)</dc:title>
  <dc:creator>MacHeng</dc:creator>
  <cp:lastModifiedBy>HMC-new</cp:lastModifiedBy>
  <cp:revision>2</cp:revision>
  <cp:lastPrinted>2016-05-30T13:31:00Z</cp:lastPrinted>
  <dcterms:created xsi:type="dcterms:W3CDTF">2016-09-30T10:57:00Z</dcterms:created>
  <dcterms:modified xsi:type="dcterms:W3CDTF">2016-09-30T10:57:00Z</dcterms:modified>
</cp:coreProperties>
</file>